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C69A" w14:textId="77777777" w:rsidR="00774C9E" w:rsidRDefault="00774C9E" w:rsidP="00774C9E">
      <w:pPr>
        <w:jc w:val="center"/>
        <w:rPr>
          <w:u w:val="single"/>
        </w:rPr>
      </w:pPr>
      <w:r w:rsidRPr="00FA1E2A">
        <w:rPr>
          <w:u w:val="single"/>
        </w:rPr>
        <w:t>P</w:t>
      </w:r>
      <w:r>
        <w:rPr>
          <w:u w:val="single"/>
        </w:rPr>
        <w:t xml:space="preserve">ersonalised Client Review </w:t>
      </w:r>
      <w:r w:rsidRPr="5D1AE08A">
        <w:rPr>
          <w:u w:val="single"/>
        </w:rPr>
        <w:t>Service Evidencing</w:t>
      </w:r>
      <w:r w:rsidRPr="00FA1E2A" w:rsidDel="009A65E6">
        <w:rPr>
          <w:u w:val="single"/>
        </w:rPr>
        <w:t xml:space="preserve"> </w:t>
      </w:r>
    </w:p>
    <w:p w14:paraId="2FB4FF60" w14:textId="77777777" w:rsidR="00774C9E" w:rsidRDefault="00774C9E" w:rsidP="00774C9E">
      <w:pPr>
        <w:jc w:val="center"/>
        <w:rPr>
          <w:u w:val="single"/>
        </w:rPr>
      </w:pPr>
      <w:r>
        <w:rPr>
          <w:u w:val="single"/>
        </w:rPr>
        <w:t xml:space="preserve">An Explanation of the Rationale for </w:t>
      </w:r>
      <w:r w:rsidRPr="5D1AE08A">
        <w:rPr>
          <w:u w:val="single"/>
        </w:rPr>
        <w:t>Default Settings</w:t>
      </w:r>
    </w:p>
    <w:p w14:paraId="4DB5E269" w14:textId="77777777" w:rsidR="00774C9E" w:rsidRDefault="00774C9E" w:rsidP="00774C9E">
      <w:r w:rsidRPr="001E3843">
        <w:t xml:space="preserve">The purpose of this document is to </w:t>
      </w:r>
      <w:r>
        <w:t xml:space="preserve">present the rationale for the metrics and monitoring thresholds used in the Personalised Client Report Service (PCRS). It considers the methodology used in calculations, and the logic for any assumptions made in deriving results. </w:t>
      </w:r>
    </w:p>
    <w:p w14:paraId="55BBBC7F" w14:textId="77777777" w:rsidR="00774C9E" w:rsidRDefault="00774C9E" w:rsidP="00774C9E">
      <w:r>
        <w:t xml:space="preserve">This is intended to support advisers in evidencing their Compliance processes. This does not mean Royal London takes responsibility for outcomes monitoring: using the insights presented here or otherwise, advisers must satisfy themselves that they have robust and appropriate oversight in place to avoid foreseeable harms and help their clients achieve good outcomes. </w:t>
      </w:r>
    </w:p>
    <w:p w14:paraId="1E3B32A0" w14:textId="77777777" w:rsidR="00774C9E" w:rsidRDefault="00774C9E" w:rsidP="00774C9E">
      <w:r>
        <w:t>This document was drafted in May 2026 using economic data from end Q1 2026. We will update this document annually, with next update expected to be published in May 2027.</w:t>
      </w:r>
    </w:p>
    <w:p w14:paraId="6011D979" w14:textId="77777777" w:rsidR="00774C9E" w:rsidRPr="00D45570" w:rsidRDefault="00774C9E" w:rsidP="00774C9E">
      <w:pPr>
        <w:rPr>
          <w:u w:val="single"/>
        </w:rPr>
      </w:pPr>
      <w:r w:rsidRPr="00D45570">
        <w:rPr>
          <w:u w:val="single"/>
        </w:rPr>
        <w:t>Products &amp; Investments</w:t>
      </w:r>
    </w:p>
    <w:p w14:paraId="27D0DD63" w14:textId="77777777" w:rsidR="00774C9E" w:rsidRPr="00321188" w:rsidRDefault="00774C9E" w:rsidP="00774C9E">
      <w:pPr>
        <w:pStyle w:val="ListParagraph"/>
        <w:numPr>
          <w:ilvl w:val="0"/>
          <w:numId w:val="7"/>
        </w:numPr>
        <w:rPr>
          <w:b/>
          <w:bCs/>
        </w:rPr>
      </w:pPr>
      <w:r w:rsidRPr="00321188">
        <w:rPr>
          <w:b/>
          <w:bCs/>
        </w:rPr>
        <w:t>Overview table</w:t>
      </w:r>
    </w:p>
    <w:p w14:paraId="12C9DE0F" w14:textId="3EA23406" w:rsidR="00774C9E" w:rsidRDefault="00774C9E" w:rsidP="00774C9E">
      <w:r>
        <w:t xml:space="preserve">Unrounded valuations at product level are shown for the start and end of the selected review period which reflect all contributions made, charges paid, and any </w:t>
      </w:r>
      <w:proofErr w:type="spellStart"/>
      <w:r>
        <w:t>Profit</w:t>
      </w:r>
      <w:r w:rsidR="001F59A6">
        <w:t>S</w:t>
      </w:r>
      <w:r>
        <w:t>hare</w:t>
      </w:r>
      <w:proofErr w:type="spellEnd"/>
      <w:r>
        <w:t xml:space="preserve"> earned. Investment return over this period, and an annualised growth rate since the inception are also shown. </w:t>
      </w:r>
    </w:p>
    <w:p w14:paraId="655896AD" w14:textId="77777777" w:rsidR="00774C9E" w:rsidRDefault="00774C9E" w:rsidP="00774C9E">
      <w:r>
        <w:t>These returns are calculated on a money-weighted basis to best reflect the actual growth the client has experienced. However, certain cashflows will not be included in the growth calculation and therefore will erode/increase investment growth. These include but are not limited to:</w:t>
      </w:r>
    </w:p>
    <w:p w14:paraId="129951A7" w14:textId="77777777" w:rsidR="00774C9E" w:rsidRDefault="00774C9E" w:rsidP="00774C9E">
      <w:pPr>
        <w:pStyle w:val="ListParagraph"/>
        <w:numPr>
          <w:ilvl w:val="0"/>
          <w:numId w:val="9"/>
        </w:numPr>
      </w:pPr>
      <w:r>
        <w:t xml:space="preserve">Royal London charges (AMCs/rebates) </w:t>
      </w:r>
    </w:p>
    <w:p w14:paraId="1EDE2F3D" w14:textId="77777777" w:rsidR="00774C9E" w:rsidRDefault="00774C9E" w:rsidP="00774C9E">
      <w:pPr>
        <w:pStyle w:val="ListParagraph"/>
        <w:numPr>
          <w:ilvl w:val="0"/>
          <w:numId w:val="9"/>
        </w:numPr>
      </w:pPr>
      <w:r>
        <w:t>Any money paid into the plan for Profit Share/With Profits bonus within the review period.</w:t>
      </w:r>
    </w:p>
    <w:p w14:paraId="4CC6FA25" w14:textId="77777777" w:rsidR="00774C9E" w:rsidRDefault="00774C9E" w:rsidP="00774C9E">
      <w:pPr>
        <w:pStyle w:val="ListParagraph"/>
        <w:numPr>
          <w:ilvl w:val="0"/>
          <w:numId w:val="9"/>
        </w:numPr>
      </w:pPr>
      <w:r>
        <w:t>Any dividends received from investments.</w:t>
      </w:r>
    </w:p>
    <w:p w14:paraId="0877461F" w14:textId="77777777" w:rsidR="00774C9E" w:rsidRDefault="00774C9E" w:rsidP="00774C9E">
      <w:r>
        <w:t>Links to the factsheets for the client’s current investments are also provided in the ‘Investments’ section of the Discussion Aid. These factsheets present time-weighted returns to support fund performance comparison.</w:t>
      </w:r>
    </w:p>
    <w:p w14:paraId="62C9BD38" w14:textId="77777777" w:rsidR="00774C9E" w:rsidRPr="003435F8" w:rsidRDefault="00774C9E" w:rsidP="00774C9E">
      <w:pPr>
        <w:pStyle w:val="ListParagraph"/>
        <w:numPr>
          <w:ilvl w:val="0"/>
          <w:numId w:val="7"/>
        </w:numPr>
        <w:rPr>
          <w:b/>
          <w:bCs/>
        </w:rPr>
      </w:pPr>
      <w:r w:rsidRPr="003435F8">
        <w:rPr>
          <w:b/>
          <w:bCs/>
        </w:rPr>
        <w:t xml:space="preserve">Money in during this </w:t>
      </w:r>
      <w:r>
        <w:rPr>
          <w:b/>
          <w:bCs/>
        </w:rPr>
        <w:t xml:space="preserve">review </w:t>
      </w:r>
      <w:r w:rsidRPr="003435F8">
        <w:rPr>
          <w:b/>
          <w:bCs/>
        </w:rPr>
        <w:t>period</w:t>
      </w:r>
    </w:p>
    <w:p w14:paraId="706D02C1" w14:textId="77777777" w:rsidR="00774C9E" w:rsidRDefault="00774C9E" w:rsidP="00774C9E">
      <w:pPr>
        <w:spacing w:after="0" w:line="300" w:lineRule="auto"/>
        <w:rPr>
          <w:rFonts w:eastAsiaTheme="minorEastAsia"/>
        </w:rPr>
      </w:pPr>
      <w:r w:rsidRPr="072219F6">
        <w:rPr>
          <w:rFonts w:eastAsiaTheme="minorEastAsia"/>
        </w:rPr>
        <w:t xml:space="preserve"> PCRS reflects contributions once they have been fully processed and applied to the plan, using a prior-day valuation approach to ensure all transactions are finalised. </w:t>
      </w:r>
    </w:p>
    <w:p w14:paraId="210F9828" w14:textId="77777777" w:rsidR="00774C9E" w:rsidRDefault="00774C9E" w:rsidP="00774C9E"/>
    <w:p w14:paraId="6E4CFBB0" w14:textId="77777777" w:rsidR="00774C9E" w:rsidRPr="007D151B" w:rsidRDefault="00774C9E" w:rsidP="00774C9E">
      <w:pPr>
        <w:pStyle w:val="ListParagraph"/>
        <w:numPr>
          <w:ilvl w:val="0"/>
          <w:numId w:val="7"/>
        </w:numPr>
        <w:rPr>
          <w:b/>
          <w:bCs/>
        </w:rPr>
      </w:pPr>
      <w:r w:rsidRPr="007D151B">
        <w:rPr>
          <w:b/>
          <w:bCs/>
        </w:rPr>
        <w:t>Remaining money in allowances</w:t>
      </w:r>
    </w:p>
    <w:p w14:paraId="1A6081E1" w14:textId="77777777" w:rsidR="00774C9E" w:rsidRDefault="00774C9E" w:rsidP="00774C9E">
      <w:r>
        <w:t xml:space="preserve">Figures are shown in respect of the tax year in which the end of the review period falls. No adjustments are made for unused allowances for previous tax years which overlap with the review period and may still be available for the client to carry forward. </w:t>
      </w:r>
    </w:p>
    <w:p w14:paraId="036360CB" w14:textId="77777777" w:rsidR="00774C9E" w:rsidRDefault="00774C9E" w:rsidP="00774C9E">
      <w:r>
        <w:t xml:space="preserve">Royal London has no knowledge of pensions the client has elsewhere and so these figures are estimates based on the contributions this client has made to their Royal London policies. Similarly, Royal London has no knowledge of the client’s earnings and tax circumstances. Therefore, no adjustments to estimated allowances are made in respect of tapering. </w:t>
      </w:r>
    </w:p>
    <w:p w14:paraId="16850D3C" w14:textId="77777777" w:rsidR="00774C9E" w:rsidRDefault="00774C9E" w:rsidP="00774C9E">
      <w:pPr>
        <w:spacing w:before="210" w:after="210" w:line="300" w:lineRule="auto"/>
        <w:rPr>
          <w:rFonts w:ascii="Segoe UI" w:eastAsia="Segoe UI" w:hAnsi="Segoe UI" w:cs="Segoe UI"/>
          <w:sz w:val="21"/>
          <w:szCs w:val="21"/>
        </w:rPr>
      </w:pPr>
      <w:r>
        <w:br/>
      </w:r>
      <w:r>
        <w:br/>
      </w:r>
    </w:p>
    <w:p w14:paraId="09598733" w14:textId="77777777" w:rsidR="00774C9E" w:rsidRDefault="00774C9E" w:rsidP="00774C9E">
      <w:pPr>
        <w:pStyle w:val="ListParagraph"/>
        <w:rPr>
          <w:b/>
        </w:rPr>
      </w:pPr>
    </w:p>
    <w:p w14:paraId="4AA45F2E" w14:textId="77777777" w:rsidR="00774C9E" w:rsidRDefault="00774C9E" w:rsidP="00774C9E">
      <w:pPr>
        <w:pStyle w:val="ListParagraph"/>
        <w:rPr>
          <w:b/>
        </w:rPr>
      </w:pPr>
    </w:p>
    <w:p w14:paraId="1EE455A2" w14:textId="77777777" w:rsidR="00774C9E" w:rsidRDefault="00774C9E" w:rsidP="00774C9E">
      <w:pPr>
        <w:pStyle w:val="ListParagraph"/>
        <w:rPr>
          <w:b/>
        </w:rPr>
      </w:pPr>
    </w:p>
    <w:p w14:paraId="38B5ED3C" w14:textId="77777777" w:rsidR="00774C9E" w:rsidRPr="00D45570" w:rsidRDefault="00774C9E" w:rsidP="00774C9E">
      <w:pPr>
        <w:rPr>
          <w:u w:val="single"/>
        </w:rPr>
      </w:pPr>
      <w:r w:rsidRPr="00D45570">
        <w:rPr>
          <w:u w:val="single"/>
        </w:rPr>
        <w:lastRenderedPageBreak/>
        <w:t>Planning Ahead</w:t>
      </w:r>
    </w:p>
    <w:p w14:paraId="365AF848" w14:textId="77777777" w:rsidR="00774C9E" w:rsidRPr="001E3843" w:rsidRDefault="00774C9E" w:rsidP="00774C9E"/>
    <w:p w14:paraId="5AF3A1B2" w14:textId="77777777" w:rsidR="00774C9E" w:rsidRPr="00646B97" w:rsidRDefault="00774C9E" w:rsidP="00774C9E">
      <w:pPr>
        <w:pStyle w:val="ListParagraph"/>
        <w:numPr>
          <w:ilvl w:val="0"/>
          <w:numId w:val="1"/>
        </w:numPr>
        <w:rPr>
          <w:b/>
          <w:bCs/>
        </w:rPr>
      </w:pPr>
      <w:r w:rsidRPr="00646B97">
        <w:rPr>
          <w:b/>
          <w:bCs/>
        </w:rPr>
        <w:t>What age do you plan to?</w:t>
      </w:r>
    </w:p>
    <w:p w14:paraId="4F8F04B4" w14:textId="77777777" w:rsidR="00774C9E" w:rsidRPr="00813413" w:rsidRDefault="00774C9E" w:rsidP="00774C9E">
      <w:pPr>
        <w:spacing w:line="300" w:lineRule="auto"/>
        <w:rPr>
          <w:rFonts w:ascii="Segoe UI" w:eastAsia="Segoe UI" w:hAnsi="Segoe UI" w:cs="Segoe UI"/>
          <w:sz w:val="21"/>
          <w:szCs w:val="21"/>
        </w:rPr>
      </w:pPr>
      <w:r w:rsidRPr="31AF94D9" w:rsidDel="2EDEAF5F">
        <w:rPr>
          <w:i/>
        </w:rPr>
        <w:t xml:space="preserve"> </w:t>
      </w:r>
      <w:r w:rsidRPr="43A8BC5A">
        <w:rPr>
          <w:rFonts w:eastAsiaTheme="minorEastAsia"/>
        </w:rPr>
        <w:t>Our default sustainable income monitoring uses a time horizon aligned to ONS life expectancy, defined as the age at which 1 in 4 individuals of the same gender are expected to survive, based on the client’s current age and gender.</w:t>
      </w:r>
    </w:p>
    <w:p w14:paraId="3CB43B77" w14:textId="77777777" w:rsidR="00774C9E" w:rsidRDefault="00774C9E" w:rsidP="00774C9E">
      <w:pPr>
        <w:rPr>
          <w:u w:val="single"/>
        </w:rPr>
      </w:pPr>
      <w:r>
        <w:rPr>
          <w:u w:val="single"/>
        </w:rPr>
        <w:t xml:space="preserve">Our </w:t>
      </w:r>
      <w:r w:rsidRPr="00FA1E2A">
        <w:rPr>
          <w:u w:val="single"/>
        </w:rPr>
        <w:t>Rationale</w:t>
      </w:r>
    </w:p>
    <w:p w14:paraId="695A2868" w14:textId="77777777" w:rsidR="00774C9E" w:rsidRDefault="00774C9E" w:rsidP="00774C9E">
      <w:pPr>
        <w:pStyle w:val="ListParagraph"/>
        <w:numPr>
          <w:ilvl w:val="0"/>
          <w:numId w:val="2"/>
        </w:numPr>
      </w:pPr>
      <w:r>
        <w:t>Using drawdown rather than purchasing secure income leaves a client exposed to investment and longevity risks and an appropriate level of prudence is required. While insufficient prudence can lead to ruin, too much prudence can inhibit a client’s ability to have a good quality of life. The level of prudence therefore needs balance. Our default assumptions use the upper 25</w:t>
      </w:r>
      <w:r w:rsidRPr="00DA7EB6">
        <w:rPr>
          <w:vertAlign w:val="superscript"/>
        </w:rPr>
        <w:t>th</w:t>
      </w:r>
      <w:r>
        <w:t xml:space="preserve"> percentile of life expectancy. </w:t>
      </w:r>
    </w:p>
    <w:p w14:paraId="42CD185D" w14:textId="77777777" w:rsidR="00774C9E" w:rsidRDefault="00774C9E" w:rsidP="00774C9E">
      <w:pPr>
        <w:pStyle w:val="ListParagraph"/>
        <w:numPr>
          <w:ilvl w:val="0"/>
          <w:numId w:val="2"/>
        </w:numPr>
      </w:pPr>
      <w:r>
        <w:t xml:space="preserve">An element of prudence in the expected lifetime leads to a time horizon that is more stable over time, allowing more confidence in the stability of a plan. As an example, a </w:t>
      </w:r>
      <w:proofErr w:type="gramStart"/>
      <w:r>
        <w:t>60-year old</w:t>
      </w:r>
      <w:proofErr w:type="gramEnd"/>
      <w:r>
        <w:t xml:space="preserve"> male planning to a central expectation of lifetime has a </w:t>
      </w:r>
      <w:proofErr w:type="gramStart"/>
      <w:r>
        <w:t>24 year</w:t>
      </w:r>
      <w:proofErr w:type="gramEnd"/>
      <w:r>
        <w:t xml:space="preserve"> time horizon. If he survives to 65,</w:t>
      </w:r>
      <w:r w:rsidDel="009F0A95">
        <w:t xml:space="preserve"> </w:t>
      </w:r>
      <w:r>
        <w:t>his future time horizon will be 20 years, not 19 (=24 -5). However, the change in the 25</w:t>
      </w:r>
      <w:r w:rsidRPr="00C15B77">
        <w:rPr>
          <w:vertAlign w:val="superscript"/>
        </w:rPr>
        <w:t>th</w:t>
      </w:r>
      <w:r>
        <w:t xml:space="preserve"> percentile likelihood overtime is slower, meaning plans based on this target will be more stable. This is illustrated here:</w:t>
      </w:r>
    </w:p>
    <w:tbl>
      <w:tblPr>
        <w:tblW w:w="3556" w:type="dxa"/>
        <w:tblInd w:w="726" w:type="dxa"/>
        <w:tblLook w:val="04A0" w:firstRow="1" w:lastRow="0" w:firstColumn="1" w:lastColumn="0" w:noHBand="0" w:noVBand="1"/>
      </w:tblPr>
      <w:tblGrid>
        <w:gridCol w:w="676"/>
        <w:gridCol w:w="899"/>
        <w:gridCol w:w="899"/>
        <w:gridCol w:w="1082"/>
      </w:tblGrid>
      <w:tr w:rsidR="00774C9E" w:rsidRPr="00F43822" w14:paraId="72F43250" w14:textId="77777777" w:rsidTr="008C4A7F">
        <w:trPr>
          <w:trHeight w:val="300"/>
        </w:trPr>
        <w:tc>
          <w:tcPr>
            <w:tcW w:w="676" w:type="dxa"/>
            <w:tcBorders>
              <w:top w:val="nil"/>
              <w:left w:val="nil"/>
              <w:bottom w:val="nil"/>
              <w:right w:val="nil"/>
            </w:tcBorders>
            <w:noWrap/>
            <w:vAlign w:val="bottom"/>
            <w:hideMark/>
          </w:tcPr>
          <w:p w14:paraId="512C87EB" w14:textId="77777777" w:rsidR="00774C9E" w:rsidRPr="00F43822" w:rsidRDefault="00774C9E" w:rsidP="008C4A7F">
            <w:pPr>
              <w:spacing w:after="0" w:line="240" w:lineRule="auto"/>
              <w:rPr>
                <w:rFonts w:ascii="Times New Roman" w:eastAsia="Times New Roman" w:hAnsi="Times New Roman" w:cs="Times New Roman"/>
                <w:kern w:val="0"/>
                <w:sz w:val="24"/>
                <w:szCs w:val="24"/>
                <w:lang w:eastAsia="en-GB"/>
                <w14:ligatures w14:val="none"/>
              </w:rPr>
            </w:pPr>
          </w:p>
        </w:tc>
        <w:tc>
          <w:tcPr>
            <w:tcW w:w="2880"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34671DEF"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ONS Life Expectancy (male)</w:t>
            </w:r>
          </w:p>
        </w:tc>
      </w:tr>
      <w:tr w:rsidR="00774C9E" w:rsidRPr="00F43822" w14:paraId="4FC1ACD0" w14:textId="77777777" w:rsidTr="008C4A7F">
        <w:trPr>
          <w:trHeight w:val="300"/>
        </w:trPr>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3B14C3" w14:textId="77777777" w:rsidR="00774C9E" w:rsidRPr="00F43822" w:rsidRDefault="00774C9E" w:rsidP="008C4A7F">
            <w:pPr>
              <w:spacing w:after="0" w:line="240" w:lineRule="auto"/>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Age Now</w:t>
            </w:r>
          </w:p>
        </w:tc>
        <w:tc>
          <w:tcPr>
            <w:tcW w:w="899" w:type="dxa"/>
            <w:tcBorders>
              <w:top w:val="nil"/>
              <w:left w:val="nil"/>
              <w:bottom w:val="single" w:sz="4" w:space="0" w:color="auto"/>
              <w:right w:val="nil"/>
            </w:tcBorders>
            <w:shd w:val="clear" w:color="auto" w:fill="D9D9D9" w:themeFill="background1" w:themeFillShade="D9"/>
            <w:noWrap/>
            <w:vAlign w:val="bottom"/>
            <w:hideMark/>
          </w:tcPr>
          <w:p w14:paraId="7E982D51"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1-in-2</w:t>
            </w:r>
          </w:p>
        </w:tc>
        <w:tc>
          <w:tcPr>
            <w:tcW w:w="899" w:type="dxa"/>
            <w:tcBorders>
              <w:top w:val="nil"/>
              <w:left w:val="nil"/>
              <w:bottom w:val="single" w:sz="4" w:space="0" w:color="auto"/>
              <w:right w:val="nil"/>
            </w:tcBorders>
            <w:shd w:val="clear" w:color="auto" w:fill="D9D9D9" w:themeFill="background1" w:themeFillShade="D9"/>
            <w:noWrap/>
            <w:vAlign w:val="bottom"/>
            <w:hideMark/>
          </w:tcPr>
          <w:p w14:paraId="2F0F6A46"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1-in-4</w:t>
            </w:r>
          </w:p>
        </w:tc>
        <w:tc>
          <w:tcPr>
            <w:tcW w:w="1082" w:type="dxa"/>
            <w:tcBorders>
              <w:top w:val="nil"/>
              <w:left w:val="nil"/>
              <w:bottom w:val="single" w:sz="4" w:space="0" w:color="auto"/>
              <w:right w:val="single" w:sz="4" w:space="0" w:color="auto"/>
            </w:tcBorders>
            <w:shd w:val="clear" w:color="auto" w:fill="D9D9D9" w:themeFill="background1" w:themeFillShade="D9"/>
            <w:noWrap/>
            <w:vAlign w:val="bottom"/>
            <w:hideMark/>
          </w:tcPr>
          <w:p w14:paraId="7D6CBDFE"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1-in-10</w:t>
            </w:r>
          </w:p>
        </w:tc>
      </w:tr>
      <w:tr w:rsidR="00774C9E" w:rsidRPr="00F43822" w14:paraId="4498A65F" w14:textId="77777777" w:rsidTr="008C4A7F">
        <w:trPr>
          <w:trHeight w:val="300"/>
        </w:trPr>
        <w:tc>
          <w:tcPr>
            <w:tcW w:w="676" w:type="dxa"/>
            <w:tcBorders>
              <w:top w:val="nil"/>
              <w:left w:val="single" w:sz="4" w:space="0" w:color="auto"/>
              <w:bottom w:val="nil"/>
              <w:right w:val="single" w:sz="4" w:space="0" w:color="auto"/>
            </w:tcBorders>
            <w:shd w:val="clear" w:color="auto" w:fill="D9D9D9" w:themeFill="background1" w:themeFillShade="D9"/>
            <w:noWrap/>
            <w:vAlign w:val="bottom"/>
            <w:hideMark/>
          </w:tcPr>
          <w:p w14:paraId="540F84FF"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60</w:t>
            </w:r>
          </w:p>
        </w:tc>
        <w:tc>
          <w:tcPr>
            <w:tcW w:w="899" w:type="dxa"/>
            <w:tcBorders>
              <w:top w:val="nil"/>
              <w:left w:val="nil"/>
              <w:bottom w:val="nil"/>
              <w:right w:val="nil"/>
            </w:tcBorders>
            <w:noWrap/>
            <w:vAlign w:val="bottom"/>
            <w:hideMark/>
          </w:tcPr>
          <w:p w14:paraId="726E17E1"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84</w:t>
            </w:r>
          </w:p>
        </w:tc>
        <w:tc>
          <w:tcPr>
            <w:tcW w:w="899" w:type="dxa"/>
            <w:tcBorders>
              <w:top w:val="nil"/>
              <w:left w:val="nil"/>
              <w:bottom w:val="nil"/>
              <w:right w:val="nil"/>
            </w:tcBorders>
            <w:noWrap/>
            <w:vAlign w:val="bottom"/>
            <w:hideMark/>
          </w:tcPr>
          <w:p w14:paraId="04970C80"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92</w:t>
            </w:r>
          </w:p>
        </w:tc>
        <w:tc>
          <w:tcPr>
            <w:tcW w:w="1082" w:type="dxa"/>
            <w:tcBorders>
              <w:top w:val="nil"/>
              <w:left w:val="nil"/>
              <w:bottom w:val="nil"/>
              <w:right w:val="single" w:sz="4" w:space="0" w:color="auto"/>
            </w:tcBorders>
            <w:noWrap/>
            <w:vAlign w:val="bottom"/>
            <w:hideMark/>
          </w:tcPr>
          <w:p w14:paraId="31C7446C"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96</w:t>
            </w:r>
          </w:p>
        </w:tc>
      </w:tr>
      <w:tr w:rsidR="00774C9E" w:rsidRPr="00F43822" w14:paraId="2E7DC2F2" w14:textId="77777777" w:rsidTr="008C4A7F">
        <w:trPr>
          <w:trHeight w:val="300"/>
        </w:trPr>
        <w:tc>
          <w:tcPr>
            <w:tcW w:w="676" w:type="dxa"/>
            <w:tcBorders>
              <w:top w:val="nil"/>
              <w:left w:val="single" w:sz="4" w:space="0" w:color="auto"/>
              <w:bottom w:val="nil"/>
              <w:right w:val="single" w:sz="4" w:space="0" w:color="auto"/>
            </w:tcBorders>
            <w:shd w:val="clear" w:color="auto" w:fill="D9D9D9" w:themeFill="background1" w:themeFillShade="D9"/>
            <w:noWrap/>
            <w:vAlign w:val="bottom"/>
            <w:hideMark/>
          </w:tcPr>
          <w:p w14:paraId="2F335AC3"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65</w:t>
            </w:r>
          </w:p>
        </w:tc>
        <w:tc>
          <w:tcPr>
            <w:tcW w:w="899" w:type="dxa"/>
            <w:tcBorders>
              <w:top w:val="nil"/>
              <w:left w:val="nil"/>
              <w:bottom w:val="nil"/>
              <w:right w:val="nil"/>
            </w:tcBorders>
            <w:noWrap/>
            <w:vAlign w:val="bottom"/>
            <w:hideMark/>
          </w:tcPr>
          <w:p w14:paraId="602DB2EB"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85</w:t>
            </w:r>
          </w:p>
        </w:tc>
        <w:tc>
          <w:tcPr>
            <w:tcW w:w="899" w:type="dxa"/>
            <w:tcBorders>
              <w:top w:val="nil"/>
              <w:left w:val="nil"/>
              <w:bottom w:val="nil"/>
              <w:right w:val="nil"/>
            </w:tcBorders>
            <w:noWrap/>
            <w:vAlign w:val="bottom"/>
            <w:hideMark/>
          </w:tcPr>
          <w:p w14:paraId="5435D788"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92</w:t>
            </w:r>
          </w:p>
        </w:tc>
        <w:tc>
          <w:tcPr>
            <w:tcW w:w="1082" w:type="dxa"/>
            <w:tcBorders>
              <w:top w:val="nil"/>
              <w:left w:val="nil"/>
              <w:bottom w:val="nil"/>
              <w:right w:val="single" w:sz="4" w:space="0" w:color="auto"/>
            </w:tcBorders>
            <w:noWrap/>
            <w:vAlign w:val="bottom"/>
            <w:hideMark/>
          </w:tcPr>
          <w:p w14:paraId="309A6768"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96</w:t>
            </w:r>
          </w:p>
        </w:tc>
      </w:tr>
      <w:tr w:rsidR="00774C9E" w:rsidRPr="00F43822" w14:paraId="6D4387C4" w14:textId="77777777" w:rsidTr="008C4A7F">
        <w:trPr>
          <w:trHeight w:val="300"/>
        </w:trPr>
        <w:tc>
          <w:tcPr>
            <w:tcW w:w="676" w:type="dxa"/>
            <w:tcBorders>
              <w:top w:val="nil"/>
              <w:left w:val="single" w:sz="4" w:space="0" w:color="auto"/>
              <w:bottom w:val="nil"/>
              <w:right w:val="single" w:sz="4" w:space="0" w:color="auto"/>
            </w:tcBorders>
            <w:shd w:val="clear" w:color="auto" w:fill="D9D9D9" w:themeFill="background1" w:themeFillShade="D9"/>
            <w:noWrap/>
            <w:vAlign w:val="bottom"/>
            <w:hideMark/>
          </w:tcPr>
          <w:p w14:paraId="29AC804D"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70</w:t>
            </w:r>
          </w:p>
        </w:tc>
        <w:tc>
          <w:tcPr>
            <w:tcW w:w="899" w:type="dxa"/>
            <w:tcBorders>
              <w:top w:val="nil"/>
              <w:left w:val="nil"/>
              <w:bottom w:val="nil"/>
              <w:right w:val="nil"/>
            </w:tcBorders>
            <w:noWrap/>
            <w:vAlign w:val="bottom"/>
            <w:hideMark/>
          </w:tcPr>
          <w:p w14:paraId="59C2E143"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86</w:t>
            </w:r>
          </w:p>
        </w:tc>
        <w:tc>
          <w:tcPr>
            <w:tcW w:w="899" w:type="dxa"/>
            <w:tcBorders>
              <w:top w:val="nil"/>
              <w:left w:val="nil"/>
              <w:bottom w:val="nil"/>
              <w:right w:val="nil"/>
            </w:tcBorders>
            <w:noWrap/>
            <w:vAlign w:val="bottom"/>
            <w:hideMark/>
          </w:tcPr>
          <w:p w14:paraId="2448B8A2"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92</w:t>
            </w:r>
          </w:p>
        </w:tc>
        <w:tc>
          <w:tcPr>
            <w:tcW w:w="1082" w:type="dxa"/>
            <w:tcBorders>
              <w:top w:val="nil"/>
              <w:left w:val="nil"/>
              <w:bottom w:val="nil"/>
              <w:right w:val="single" w:sz="4" w:space="0" w:color="auto"/>
            </w:tcBorders>
            <w:noWrap/>
            <w:vAlign w:val="bottom"/>
            <w:hideMark/>
          </w:tcPr>
          <w:p w14:paraId="14DFEAE8"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96</w:t>
            </w:r>
          </w:p>
        </w:tc>
      </w:tr>
      <w:tr w:rsidR="00774C9E" w:rsidRPr="00F43822" w14:paraId="7C19554F" w14:textId="77777777" w:rsidTr="008C4A7F">
        <w:trPr>
          <w:trHeight w:val="300"/>
        </w:trPr>
        <w:tc>
          <w:tcPr>
            <w:tcW w:w="676" w:type="dxa"/>
            <w:tcBorders>
              <w:top w:val="nil"/>
              <w:left w:val="single" w:sz="4" w:space="0" w:color="auto"/>
              <w:bottom w:val="nil"/>
              <w:right w:val="single" w:sz="4" w:space="0" w:color="auto"/>
            </w:tcBorders>
            <w:shd w:val="clear" w:color="auto" w:fill="D9D9D9" w:themeFill="background1" w:themeFillShade="D9"/>
            <w:noWrap/>
            <w:vAlign w:val="bottom"/>
            <w:hideMark/>
          </w:tcPr>
          <w:p w14:paraId="52BC60F7"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75</w:t>
            </w:r>
          </w:p>
        </w:tc>
        <w:tc>
          <w:tcPr>
            <w:tcW w:w="899" w:type="dxa"/>
            <w:tcBorders>
              <w:top w:val="nil"/>
              <w:left w:val="nil"/>
              <w:bottom w:val="nil"/>
              <w:right w:val="nil"/>
            </w:tcBorders>
            <w:noWrap/>
            <w:vAlign w:val="bottom"/>
            <w:hideMark/>
          </w:tcPr>
          <w:p w14:paraId="1FE0B9D3"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87</w:t>
            </w:r>
          </w:p>
        </w:tc>
        <w:tc>
          <w:tcPr>
            <w:tcW w:w="899" w:type="dxa"/>
            <w:tcBorders>
              <w:top w:val="nil"/>
              <w:left w:val="nil"/>
              <w:bottom w:val="nil"/>
              <w:right w:val="nil"/>
            </w:tcBorders>
            <w:noWrap/>
            <w:vAlign w:val="bottom"/>
            <w:hideMark/>
          </w:tcPr>
          <w:p w14:paraId="0B45A22E"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92</w:t>
            </w:r>
          </w:p>
        </w:tc>
        <w:tc>
          <w:tcPr>
            <w:tcW w:w="1082" w:type="dxa"/>
            <w:tcBorders>
              <w:top w:val="nil"/>
              <w:left w:val="nil"/>
              <w:bottom w:val="nil"/>
              <w:right w:val="single" w:sz="4" w:space="0" w:color="auto"/>
            </w:tcBorders>
            <w:noWrap/>
            <w:vAlign w:val="bottom"/>
            <w:hideMark/>
          </w:tcPr>
          <w:p w14:paraId="096B7FFA"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96</w:t>
            </w:r>
          </w:p>
        </w:tc>
      </w:tr>
      <w:tr w:rsidR="00774C9E" w:rsidRPr="00F43822" w14:paraId="5F850572" w14:textId="77777777" w:rsidTr="008C4A7F">
        <w:trPr>
          <w:trHeight w:val="300"/>
        </w:trPr>
        <w:tc>
          <w:tcPr>
            <w:tcW w:w="676" w:type="dxa"/>
            <w:tcBorders>
              <w:top w:val="nil"/>
              <w:left w:val="single" w:sz="4" w:space="0" w:color="auto"/>
              <w:bottom w:val="nil"/>
              <w:right w:val="single" w:sz="4" w:space="0" w:color="auto"/>
            </w:tcBorders>
            <w:shd w:val="clear" w:color="auto" w:fill="D9D9D9" w:themeFill="background1" w:themeFillShade="D9"/>
            <w:noWrap/>
            <w:vAlign w:val="bottom"/>
            <w:hideMark/>
          </w:tcPr>
          <w:p w14:paraId="72EAC071"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80</w:t>
            </w:r>
          </w:p>
        </w:tc>
        <w:tc>
          <w:tcPr>
            <w:tcW w:w="899" w:type="dxa"/>
            <w:tcBorders>
              <w:top w:val="nil"/>
              <w:left w:val="nil"/>
              <w:bottom w:val="nil"/>
              <w:right w:val="nil"/>
            </w:tcBorders>
            <w:noWrap/>
            <w:vAlign w:val="bottom"/>
            <w:hideMark/>
          </w:tcPr>
          <w:p w14:paraId="32E59BEC"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89</w:t>
            </w:r>
          </w:p>
        </w:tc>
        <w:tc>
          <w:tcPr>
            <w:tcW w:w="899" w:type="dxa"/>
            <w:tcBorders>
              <w:top w:val="nil"/>
              <w:left w:val="nil"/>
              <w:bottom w:val="nil"/>
              <w:right w:val="nil"/>
            </w:tcBorders>
            <w:noWrap/>
            <w:vAlign w:val="bottom"/>
            <w:hideMark/>
          </w:tcPr>
          <w:p w14:paraId="2D9B83BA"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93</w:t>
            </w:r>
          </w:p>
        </w:tc>
        <w:tc>
          <w:tcPr>
            <w:tcW w:w="1082" w:type="dxa"/>
            <w:tcBorders>
              <w:top w:val="nil"/>
              <w:left w:val="nil"/>
              <w:bottom w:val="nil"/>
              <w:right w:val="single" w:sz="4" w:space="0" w:color="auto"/>
            </w:tcBorders>
            <w:noWrap/>
            <w:vAlign w:val="bottom"/>
            <w:hideMark/>
          </w:tcPr>
          <w:p w14:paraId="42194BFD"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96</w:t>
            </w:r>
          </w:p>
        </w:tc>
      </w:tr>
      <w:tr w:rsidR="00774C9E" w:rsidRPr="00F43822" w14:paraId="4665E963" w14:textId="77777777" w:rsidTr="008C4A7F">
        <w:trPr>
          <w:trHeight w:val="300"/>
        </w:trPr>
        <w:tc>
          <w:tcPr>
            <w:tcW w:w="67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D2ECCC5" w14:textId="77777777" w:rsidR="00774C9E" w:rsidRPr="00F43822" w:rsidRDefault="00774C9E" w:rsidP="008C4A7F">
            <w:pPr>
              <w:spacing w:after="0" w:line="240" w:lineRule="auto"/>
              <w:jc w:val="right"/>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85</w:t>
            </w:r>
          </w:p>
        </w:tc>
        <w:tc>
          <w:tcPr>
            <w:tcW w:w="899" w:type="dxa"/>
            <w:tcBorders>
              <w:top w:val="nil"/>
              <w:left w:val="nil"/>
              <w:bottom w:val="single" w:sz="4" w:space="0" w:color="auto"/>
              <w:right w:val="nil"/>
            </w:tcBorders>
            <w:noWrap/>
            <w:vAlign w:val="bottom"/>
            <w:hideMark/>
          </w:tcPr>
          <w:p w14:paraId="577259B0"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91</w:t>
            </w:r>
          </w:p>
        </w:tc>
        <w:tc>
          <w:tcPr>
            <w:tcW w:w="899" w:type="dxa"/>
            <w:tcBorders>
              <w:top w:val="nil"/>
              <w:left w:val="nil"/>
              <w:bottom w:val="single" w:sz="4" w:space="0" w:color="auto"/>
              <w:right w:val="nil"/>
            </w:tcBorders>
            <w:noWrap/>
            <w:vAlign w:val="bottom"/>
            <w:hideMark/>
          </w:tcPr>
          <w:p w14:paraId="58E790A6" w14:textId="77777777" w:rsidR="00774C9E" w:rsidRPr="00814207" w:rsidRDefault="00774C9E" w:rsidP="008C4A7F">
            <w:pPr>
              <w:spacing w:after="0" w:line="240" w:lineRule="auto"/>
              <w:jc w:val="center"/>
              <w:rPr>
                <w:rFonts w:ascii="Aptos Narrow" w:eastAsia="Times New Roman" w:hAnsi="Aptos Narrow" w:cs="Times New Roman"/>
                <w:b/>
                <w:color w:val="000000"/>
                <w:kern w:val="0"/>
                <w:lang w:eastAsia="en-GB"/>
                <w14:ligatures w14:val="none"/>
              </w:rPr>
            </w:pPr>
            <w:r w:rsidRPr="5D1AE08A">
              <w:rPr>
                <w:rFonts w:ascii="Aptos Narrow" w:eastAsia="Times New Roman" w:hAnsi="Aptos Narrow" w:cs="Times New Roman"/>
                <w:b/>
                <w:color w:val="000000"/>
                <w:kern w:val="0"/>
                <w:lang w:eastAsia="en-GB"/>
                <w14:ligatures w14:val="none"/>
              </w:rPr>
              <w:t>94</w:t>
            </w:r>
          </w:p>
        </w:tc>
        <w:tc>
          <w:tcPr>
            <w:tcW w:w="1082" w:type="dxa"/>
            <w:tcBorders>
              <w:top w:val="nil"/>
              <w:left w:val="nil"/>
              <w:bottom w:val="single" w:sz="4" w:space="0" w:color="auto"/>
              <w:right w:val="single" w:sz="4" w:space="0" w:color="auto"/>
            </w:tcBorders>
            <w:noWrap/>
            <w:vAlign w:val="bottom"/>
            <w:hideMark/>
          </w:tcPr>
          <w:p w14:paraId="46A516BB" w14:textId="77777777" w:rsidR="00774C9E" w:rsidRPr="00F43822" w:rsidRDefault="00774C9E" w:rsidP="008C4A7F">
            <w:pPr>
              <w:spacing w:after="0" w:line="240" w:lineRule="auto"/>
              <w:jc w:val="center"/>
              <w:rPr>
                <w:rFonts w:ascii="Aptos Narrow" w:eastAsia="Times New Roman" w:hAnsi="Aptos Narrow" w:cs="Times New Roman"/>
                <w:color w:val="000000"/>
                <w:kern w:val="0"/>
                <w:lang w:eastAsia="en-GB"/>
                <w14:ligatures w14:val="none"/>
              </w:rPr>
            </w:pPr>
            <w:r w:rsidRPr="00F43822">
              <w:rPr>
                <w:rFonts w:ascii="Aptos Narrow" w:eastAsia="Times New Roman" w:hAnsi="Aptos Narrow" w:cs="Times New Roman"/>
                <w:color w:val="000000"/>
                <w:kern w:val="0"/>
                <w:lang w:eastAsia="en-GB"/>
                <w14:ligatures w14:val="none"/>
              </w:rPr>
              <w:t>97</w:t>
            </w:r>
          </w:p>
        </w:tc>
      </w:tr>
    </w:tbl>
    <w:p w14:paraId="4EB7528E" w14:textId="77777777" w:rsidR="00774C9E" w:rsidRDefault="00774C9E" w:rsidP="00774C9E">
      <w:pPr>
        <w:pStyle w:val="ListParagraph"/>
      </w:pPr>
    </w:p>
    <w:p w14:paraId="69E6F863" w14:textId="77777777" w:rsidR="00774C9E" w:rsidRDefault="00774C9E" w:rsidP="00774C9E">
      <w:pPr>
        <w:pStyle w:val="ListParagraph"/>
        <w:numPr>
          <w:ilvl w:val="0"/>
          <w:numId w:val="3"/>
        </w:numPr>
      </w:pPr>
      <w:r>
        <w:t xml:space="preserve">We don’t use regional ONS estimates in our defaults, as we believe the variability within the regions available is likely to be as significant as the variability between regions. Life expectancy will always be an estimate, and we believe the simplification to use all-population data does not undermine the reasonableness of this time horizon. Further, while there is evidence of regional variation in </w:t>
      </w:r>
      <w:r w:rsidRPr="001901B9">
        <w:rPr>
          <w:i/>
          <w:iCs/>
        </w:rPr>
        <w:t>average</w:t>
      </w:r>
      <w:r>
        <w:t xml:space="preserve"> life expectancy, there is less variability between regions at the upper 25</w:t>
      </w:r>
      <w:r w:rsidRPr="001901B9">
        <w:rPr>
          <w:vertAlign w:val="superscript"/>
        </w:rPr>
        <w:t>th</w:t>
      </w:r>
      <w:r>
        <w:t xml:space="preserve"> percentile point. </w:t>
      </w:r>
    </w:p>
    <w:p w14:paraId="5CD3CFE5" w14:textId="77777777" w:rsidR="00774C9E" w:rsidRDefault="00774C9E" w:rsidP="00774C9E">
      <w:pPr>
        <w:pStyle w:val="ListParagraph"/>
      </w:pPr>
    </w:p>
    <w:p w14:paraId="44DB6D8A" w14:textId="77777777" w:rsidR="00774C9E" w:rsidRDefault="00774C9E" w:rsidP="00774C9E">
      <w:pPr>
        <w:pStyle w:val="ListParagraph"/>
        <w:numPr>
          <w:ilvl w:val="0"/>
          <w:numId w:val="1"/>
        </w:numPr>
        <w:rPr>
          <w:b/>
          <w:bCs/>
        </w:rPr>
      </w:pPr>
      <w:r w:rsidRPr="00646B97">
        <w:rPr>
          <w:b/>
          <w:bCs/>
        </w:rPr>
        <w:t>What range of confidence do you want to aim for?</w:t>
      </w:r>
    </w:p>
    <w:p w14:paraId="31062FCF" w14:textId="77777777" w:rsidR="00774C9E" w:rsidRPr="00726C07" w:rsidRDefault="00774C9E" w:rsidP="00774C9E">
      <w:pPr>
        <w:rPr>
          <w:i/>
          <w:iCs/>
        </w:rPr>
      </w:pPr>
      <w:r w:rsidRPr="00726C07">
        <w:rPr>
          <w:i/>
          <w:iCs/>
        </w:rPr>
        <w:t xml:space="preserve">We say ‘on track’ is 75%-85%, which is a modest band around 80%. </w:t>
      </w:r>
    </w:p>
    <w:p w14:paraId="5564E885" w14:textId="77777777" w:rsidR="00774C9E" w:rsidRPr="003F5710" w:rsidRDefault="00774C9E" w:rsidP="00774C9E">
      <w:pPr>
        <w:rPr>
          <w:u w:val="single"/>
        </w:rPr>
      </w:pPr>
      <w:r w:rsidRPr="003F5710">
        <w:rPr>
          <w:u w:val="single"/>
        </w:rPr>
        <w:t>Rationale</w:t>
      </w:r>
    </w:p>
    <w:p w14:paraId="1B392BBB" w14:textId="77777777" w:rsidR="00774C9E" w:rsidRDefault="00774C9E" w:rsidP="00774C9E">
      <w:pPr>
        <w:pStyle w:val="ListParagraph"/>
        <w:numPr>
          <w:ilvl w:val="0"/>
          <w:numId w:val="3"/>
        </w:numPr>
      </w:pPr>
      <w:r w:rsidRPr="5D1AE08A">
        <w:rPr>
          <w:b/>
        </w:rPr>
        <w:t>Drawdown implies retained market risk:</w:t>
      </w:r>
      <w:r>
        <w:t xml:space="preserve"> This level of confidence is intended as a way of managing the market risks drawdown customers are exposed to. Individuals must recognise the potential need to adapt their income to market outcomes and choose investments with a risk profile aligned to their willingness to accept this variation. By accepting that some of the downside market risk will be managed by adjusting income, initial prudence levels can be tempered.</w:t>
      </w:r>
    </w:p>
    <w:p w14:paraId="7B4F709C" w14:textId="77777777" w:rsidR="00774C9E" w:rsidRDefault="00774C9E" w:rsidP="00774C9E">
      <w:pPr>
        <w:pStyle w:val="ListParagraph"/>
        <w:numPr>
          <w:ilvl w:val="0"/>
          <w:numId w:val="3"/>
        </w:numPr>
      </w:pPr>
      <w:r w:rsidRPr="5D1AE08A">
        <w:rPr>
          <w:b/>
        </w:rPr>
        <w:t xml:space="preserve">Longevity assumption </w:t>
      </w:r>
      <w:r w:rsidRPr="005B10F3">
        <w:rPr>
          <w:b/>
          <w:bCs/>
        </w:rPr>
        <w:t>contain</w:t>
      </w:r>
      <w:r>
        <w:rPr>
          <w:b/>
          <w:bCs/>
        </w:rPr>
        <w:t>s</w:t>
      </w:r>
      <w:r w:rsidRPr="5D1AE08A">
        <w:rPr>
          <w:b/>
        </w:rPr>
        <w:t xml:space="preserve"> prudence:</w:t>
      </w:r>
      <w:r>
        <w:t xml:space="preserve"> While longevity and market risks are not strongly correlated, the outcome of being prudent with both assumptions is the same: i.e. reduced income. </w:t>
      </w:r>
      <w:r w:rsidDel="0029787E">
        <w:t>A</w:t>
      </w:r>
      <w:r>
        <w:t>dding to the overall prudence by using a very high sustainability confidence level on top of the 1-in-4 longevity assumption may be excessive.</w:t>
      </w:r>
    </w:p>
    <w:p w14:paraId="319FFC0C" w14:textId="77777777" w:rsidR="00774C9E" w:rsidRDefault="00774C9E" w:rsidP="00774C9E">
      <w:pPr>
        <w:pStyle w:val="ListParagraph"/>
        <w:numPr>
          <w:ilvl w:val="0"/>
          <w:numId w:val="3"/>
        </w:numPr>
      </w:pPr>
      <w:r>
        <w:t xml:space="preserve">These two factors - that longevity assumptions already contain prudence; and that clients vary their income in response to market returns - lead us to a default assumption of sustainability confidence of 80%. </w:t>
      </w:r>
    </w:p>
    <w:p w14:paraId="61951713" w14:textId="77777777" w:rsidR="00774C9E" w:rsidRDefault="00774C9E" w:rsidP="00774C9E">
      <w:pPr>
        <w:pStyle w:val="ListParagraph"/>
        <w:numPr>
          <w:ilvl w:val="0"/>
          <w:numId w:val="3"/>
        </w:numPr>
      </w:pPr>
      <w:r>
        <w:lastRenderedPageBreak/>
        <w:t xml:space="preserve">To illustrate how these layers of prudence interact: </w:t>
      </w:r>
    </w:p>
    <w:p w14:paraId="2FA30F04" w14:textId="77777777" w:rsidR="00774C9E" w:rsidRDefault="00774C9E" w:rsidP="00774C9E">
      <w:pPr>
        <w:pStyle w:val="ListParagraph"/>
        <w:numPr>
          <w:ilvl w:val="1"/>
          <w:numId w:val="3"/>
        </w:numPr>
      </w:pPr>
      <w:r>
        <w:t xml:space="preserve">We first set income based on a long lifespan, not an average one. Instead of assuming a typical </w:t>
      </w:r>
      <w:proofErr w:type="gramStart"/>
      <w:r>
        <w:t>65 year old</w:t>
      </w:r>
      <w:proofErr w:type="gramEnd"/>
      <w:r>
        <w:t xml:space="preserve"> lives to around age 86 (their central life expectancy), we assume they could live to age 92, which represents a relatively long life (around the top 25% of outcomes). </w:t>
      </w:r>
    </w:p>
    <w:p w14:paraId="1D83E180" w14:textId="77777777" w:rsidR="00774C9E" w:rsidRDefault="00774C9E" w:rsidP="00774C9E">
      <w:pPr>
        <w:pStyle w:val="ListParagraph"/>
        <w:numPr>
          <w:ilvl w:val="1"/>
          <w:numId w:val="3"/>
        </w:numPr>
      </w:pPr>
      <w:r>
        <w:t>We then set income so that there is 80% probability that it can be paid to age 92. Because the income is designed to last to 92, it becomes much more secure over shorter lifespans. In practice, this means that while the income is 80% sustainable to age 92, it is well over 90</w:t>
      </w:r>
      <w:r w:rsidRPr="00A94361">
        <w:t>%</w:t>
      </w:r>
      <w:r>
        <w:t xml:space="preserve"> likely to be sustainable to age 86, the average life expectancy.</w:t>
      </w:r>
    </w:p>
    <w:p w14:paraId="676EA531" w14:textId="77777777" w:rsidR="00774C9E" w:rsidRDefault="00774C9E" w:rsidP="00774C9E">
      <w:pPr>
        <w:pStyle w:val="ListParagraph"/>
      </w:pPr>
    </w:p>
    <w:p w14:paraId="1AC443C3" w14:textId="77777777" w:rsidR="00774C9E" w:rsidRDefault="00774C9E" w:rsidP="00774C9E">
      <w:pPr>
        <w:pStyle w:val="ListParagraph"/>
        <w:numPr>
          <w:ilvl w:val="0"/>
          <w:numId w:val="3"/>
        </w:numPr>
      </w:pPr>
      <w:r w:rsidRPr="3498F243">
        <w:rPr>
          <w:b/>
          <w:bCs/>
        </w:rPr>
        <w:t>Diminishing returns above 80%:</w:t>
      </w:r>
      <w:r>
        <w:t xml:space="preserve"> Beyond 80%, the income given up </w:t>
      </w:r>
      <w:proofErr w:type="gramStart"/>
      <w:r>
        <w:t>to achieve</w:t>
      </w:r>
      <w:proofErr w:type="gramEnd"/>
      <w:r>
        <w:t xml:space="preserve"> higher confidence rises sharply, meaning customers sacrifice increasingly more income for increasingly small improvements in sustainability. </w:t>
      </w:r>
    </w:p>
    <w:p w14:paraId="76684616" w14:textId="77777777" w:rsidR="00774C9E" w:rsidRDefault="00774C9E" w:rsidP="00774C9E">
      <w:pPr>
        <w:pStyle w:val="ListParagraph"/>
      </w:pPr>
      <w:r>
        <w:rPr>
          <w:noProof/>
        </w:rPr>
        <w:drawing>
          <wp:inline distT="0" distB="0" distL="0" distR="0" wp14:anchorId="71ED5490" wp14:editId="38D1FF0A">
            <wp:extent cx="4813540" cy="3202050"/>
            <wp:effectExtent l="0" t="0" r="6350" b="0"/>
            <wp:docPr id="11625366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36672" name="Picture 1162536672"/>
                    <pic:cNvPicPr/>
                  </pic:nvPicPr>
                  <pic:blipFill>
                    <a:blip r:embed="rId8">
                      <a:extLst>
                        <a:ext uri="{28A0092B-C50C-407E-A947-70E740481C1C}">
                          <a14:useLocalDpi xmlns:a14="http://schemas.microsoft.com/office/drawing/2010/main"/>
                        </a:ext>
                      </a:extLst>
                    </a:blip>
                    <a:stretch>
                      <a:fillRect/>
                    </a:stretch>
                  </pic:blipFill>
                  <pic:spPr>
                    <a:xfrm>
                      <a:off x="0" y="0"/>
                      <a:ext cx="4817366" cy="3204595"/>
                    </a:xfrm>
                    <a:prstGeom prst="rect">
                      <a:avLst/>
                    </a:prstGeom>
                  </pic:spPr>
                </pic:pic>
              </a:graphicData>
            </a:graphic>
          </wp:inline>
        </w:drawing>
      </w:r>
    </w:p>
    <w:p w14:paraId="1955A751" w14:textId="77777777" w:rsidR="00774C9E" w:rsidRDefault="00774C9E" w:rsidP="00774C9E">
      <w:pPr>
        <w:pStyle w:val="ListParagraph"/>
      </w:pPr>
    </w:p>
    <w:p w14:paraId="06008281" w14:textId="77777777" w:rsidR="00774C9E" w:rsidRPr="00D10676" w:rsidRDefault="00774C9E" w:rsidP="00774C9E">
      <w:pPr>
        <w:spacing w:after="0" w:line="300" w:lineRule="atLeast"/>
      </w:pPr>
      <w:r w:rsidRPr="5D1AE08A">
        <w:rPr>
          <w:b/>
        </w:rPr>
        <w:t>Downside risk at the 80% confidence level is reasonable:</w:t>
      </w:r>
      <w:r w:rsidRPr="00D10676">
        <w:t xml:space="preserve"> Our modelling shows that income set at 80% confidence level is resilient in most market conditions. For a pension invested in our balanced drawdown portfolio (GRIP3), a severe 1-in-</w:t>
      </w:r>
      <w:proofErr w:type="gramStart"/>
      <w:r>
        <w:t>11</w:t>
      </w:r>
      <w:r w:rsidRPr="00D10676">
        <w:t xml:space="preserve"> </w:t>
      </w:r>
      <w:r w:rsidRPr="00781277">
        <w:t>year</w:t>
      </w:r>
      <w:proofErr w:type="gramEnd"/>
      <w:r w:rsidRPr="00781277">
        <w:t xml:space="preserve"> </w:t>
      </w:r>
      <w:r w:rsidRPr="00D10676">
        <w:t xml:space="preserve">market shock would be required before triggering an income reduction of more than 5% at the next </w:t>
      </w:r>
      <w:r w:rsidRPr="00781277">
        <w:t xml:space="preserve">annual </w:t>
      </w:r>
      <w:r w:rsidRPr="00D10676">
        <w:t xml:space="preserve">review. We believe </w:t>
      </w:r>
      <w:r>
        <w:t>a 5% reduction in income</w:t>
      </w:r>
      <w:r w:rsidRPr="00D10676">
        <w:t xml:space="preserve"> is manageable and consistent with the level of variability drawdown customers should reasonably expect</w:t>
      </w:r>
      <w:r w:rsidRPr="00781277">
        <w:t xml:space="preserve"> to have to bear in downside scenarios.</w:t>
      </w:r>
      <w:r w:rsidRPr="00D10676">
        <w:t xml:space="preserve"> </w:t>
      </w:r>
    </w:p>
    <w:p w14:paraId="5C9B4B8E" w14:textId="77777777" w:rsidR="00774C9E" w:rsidRPr="001F37D5" w:rsidRDefault="00774C9E" w:rsidP="00774C9E">
      <w:pPr>
        <w:pStyle w:val="ListParagraph"/>
        <w:numPr>
          <w:ilvl w:val="0"/>
          <w:numId w:val="8"/>
        </w:numPr>
        <w:spacing w:after="0" w:line="300" w:lineRule="atLeast"/>
      </w:pPr>
      <w:r w:rsidRPr="5D1AE08A">
        <w:rPr>
          <w:b/>
        </w:rPr>
        <w:t>Why a 75%-85% monitoring range is reasonable:</w:t>
      </w:r>
      <w:r>
        <w:t xml:space="preserve"> The 75%–85% range provides a practical monitoring band around the 80% target, balancing income stability with the ability to act when required. A fall from 80% to 75% confidence at outset would require the fund to fall in value by around 2</w:t>
      </w:r>
      <w:r w:rsidRPr="00781277">
        <w:t>.5</w:t>
      </w:r>
      <w:r>
        <w:t>%</w:t>
      </w:r>
      <w:r w:rsidRPr="00781277">
        <w:t>.</w:t>
      </w:r>
      <w:r>
        <w:t xml:space="preserve"> Our model indicates this has a probability of 16% on average over any given one-year period in the projection term for GRIP3. This ensures that income reviews are triggered by more meaningful market corrections rather than routine volatility, while still enabling action early enough to manage sustainability risk appropriately.</w:t>
      </w:r>
    </w:p>
    <w:p w14:paraId="4CAE655F" w14:textId="77777777" w:rsidR="00774C9E" w:rsidRDefault="00774C9E" w:rsidP="00774C9E">
      <w:pPr>
        <w:pStyle w:val="ListParagraph"/>
      </w:pPr>
    </w:p>
    <w:p w14:paraId="5973BEBC" w14:textId="77777777" w:rsidR="00774C9E" w:rsidRPr="00626C99" w:rsidRDefault="00774C9E" w:rsidP="00774C9E">
      <w:pPr>
        <w:pStyle w:val="ListParagraph"/>
        <w:numPr>
          <w:ilvl w:val="0"/>
          <w:numId w:val="1"/>
        </w:numPr>
        <w:rPr>
          <w:b/>
          <w:bCs/>
        </w:rPr>
      </w:pPr>
      <w:r w:rsidRPr="00626C99">
        <w:rPr>
          <w:b/>
          <w:bCs/>
        </w:rPr>
        <w:t>Do you want to include potential future investment outcomes?</w:t>
      </w:r>
    </w:p>
    <w:p w14:paraId="4869083D" w14:textId="77777777" w:rsidR="00774C9E" w:rsidRDefault="00774C9E" w:rsidP="00774C9E">
      <w:pPr>
        <w:rPr>
          <w:i/>
          <w:iCs/>
        </w:rPr>
      </w:pPr>
      <w:r w:rsidRPr="3498F243">
        <w:rPr>
          <w:i/>
          <w:iCs/>
        </w:rPr>
        <w:t xml:space="preserve">If this scenario is selected, we will show </w:t>
      </w:r>
      <w:proofErr w:type="gramStart"/>
      <w:r w:rsidRPr="3498F243">
        <w:rPr>
          <w:i/>
          <w:iCs/>
        </w:rPr>
        <w:t>a number of</w:t>
      </w:r>
      <w:proofErr w:type="gramEnd"/>
      <w:r w:rsidRPr="3498F243">
        <w:rPr>
          <w:i/>
          <w:iCs/>
        </w:rPr>
        <w:t xml:space="preserve"> investment related metrics for the current investment choice</w:t>
      </w:r>
      <w:r>
        <w:rPr>
          <w:i/>
          <w:iCs/>
        </w:rPr>
        <w:t>:</w:t>
      </w:r>
    </w:p>
    <w:p w14:paraId="006DF31E" w14:textId="77777777" w:rsidR="00774C9E" w:rsidRDefault="00774C9E" w:rsidP="00774C9E">
      <w:pPr>
        <w:pStyle w:val="ListParagraph"/>
        <w:numPr>
          <w:ilvl w:val="0"/>
          <w:numId w:val="11"/>
        </w:numPr>
        <w:rPr>
          <w:i/>
          <w:iCs/>
        </w:rPr>
      </w:pPr>
      <w:r>
        <w:rPr>
          <w:i/>
          <w:iCs/>
        </w:rPr>
        <w:t>Average annualised growth rate</w:t>
      </w:r>
    </w:p>
    <w:p w14:paraId="1514690B" w14:textId="77777777" w:rsidR="00774C9E" w:rsidRDefault="00774C9E" w:rsidP="00774C9E">
      <w:pPr>
        <w:pStyle w:val="ListParagraph"/>
        <w:numPr>
          <w:ilvl w:val="0"/>
          <w:numId w:val="11"/>
        </w:numPr>
        <w:rPr>
          <w:i/>
          <w:iCs/>
        </w:rPr>
      </w:pPr>
      <w:r>
        <w:rPr>
          <w:i/>
          <w:iCs/>
        </w:rPr>
        <w:t>Potential 1 year loss in a bad year (1 in 20)</w:t>
      </w:r>
    </w:p>
    <w:p w14:paraId="4B0E85BE" w14:textId="77777777" w:rsidR="00774C9E" w:rsidRDefault="00774C9E" w:rsidP="00774C9E">
      <w:pPr>
        <w:pStyle w:val="ListParagraph"/>
        <w:numPr>
          <w:ilvl w:val="0"/>
          <w:numId w:val="11"/>
        </w:numPr>
        <w:rPr>
          <w:i/>
          <w:iCs/>
        </w:rPr>
      </w:pPr>
      <w:r>
        <w:rPr>
          <w:i/>
          <w:iCs/>
        </w:rPr>
        <w:t>Probability of return greater than inflation and cash</w:t>
      </w:r>
    </w:p>
    <w:p w14:paraId="072D9897" w14:textId="77777777" w:rsidR="00774C9E" w:rsidRPr="00C533FA" w:rsidRDefault="00774C9E" w:rsidP="00774C9E">
      <w:pPr>
        <w:pStyle w:val="ListParagraph"/>
        <w:numPr>
          <w:ilvl w:val="0"/>
          <w:numId w:val="11"/>
        </w:numPr>
        <w:rPr>
          <w:i/>
          <w:iCs/>
        </w:rPr>
      </w:pPr>
      <w:r>
        <w:rPr>
          <w:i/>
          <w:iCs/>
        </w:rPr>
        <w:lastRenderedPageBreak/>
        <w:t>How much investments might fall during a long period of poor market performance</w:t>
      </w:r>
    </w:p>
    <w:p w14:paraId="7B438A74" w14:textId="77777777" w:rsidR="00774C9E" w:rsidRDefault="00774C9E" w:rsidP="00774C9E">
      <w:pPr>
        <w:rPr>
          <w:i/>
          <w:iCs/>
        </w:rPr>
      </w:pPr>
      <w:r w:rsidRPr="3498F243">
        <w:rPr>
          <w:i/>
          <w:iCs/>
        </w:rPr>
        <w:t xml:space="preserve"> These metrics are relevant over a term from current age to planned withdrawal age</w:t>
      </w:r>
      <w:r>
        <w:rPr>
          <w:i/>
          <w:iCs/>
        </w:rPr>
        <w:t>.</w:t>
      </w:r>
      <w:r w:rsidRPr="3498F243">
        <w:rPr>
          <w:i/>
          <w:iCs/>
        </w:rPr>
        <w:t xml:space="preserve"> </w:t>
      </w:r>
    </w:p>
    <w:p w14:paraId="69238DC8" w14:textId="77777777" w:rsidR="00774C9E" w:rsidRDefault="00774C9E" w:rsidP="00774C9E">
      <w:pPr>
        <w:rPr>
          <w:i/>
          <w:iCs/>
        </w:rPr>
      </w:pPr>
      <w:r w:rsidRPr="3498F243">
        <w:rPr>
          <w:i/>
          <w:iCs/>
        </w:rPr>
        <w:t xml:space="preserve">To determine these </w:t>
      </w:r>
      <w:proofErr w:type="gramStart"/>
      <w:r w:rsidRPr="3498F243">
        <w:rPr>
          <w:i/>
          <w:iCs/>
        </w:rPr>
        <w:t>metrics</w:t>
      </w:r>
      <w:proofErr w:type="gramEnd"/>
      <w:r w:rsidRPr="3498F243">
        <w:rPr>
          <w:i/>
          <w:iCs/>
        </w:rPr>
        <w:t xml:space="preserve"> we will assume a static annual management charge, </w:t>
      </w:r>
      <w:r>
        <w:rPr>
          <w:i/>
          <w:iCs/>
        </w:rPr>
        <w:t>allowing for</w:t>
      </w:r>
      <w:r w:rsidRPr="3498F243">
        <w:rPr>
          <w:i/>
          <w:iCs/>
        </w:rPr>
        <w:t xml:space="preserve"> discount applied </w:t>
      </w:r>
      <w:r>
        <w:rPr>
          <w:i/>
          <w:iCs/>
        </w:rPr>
        <w:t>based on</w:t>
      </w:r>
      <w:r w:rsidRPr="3498F243">
        <w:rPr>
          <w:i/>
          <w:iCs/>
        </w:rPr>
        <w:t xml:space="preserve"> the customers current total plan value. Any expected ongoing adviser charges are also </w:t>
      </w:r>
      <w:proofErr w:type="gramStart"/>
      <w:r w:rsidRPr="3498F243">
        <w:rPr>
          <w:i/>
          <w:iCs/>
        </w:rPr>
        <w:t>applied</w:t>
      </w:r>
      <w:proofErr w:type="gramEnd"/>
      <w:r w:rsidRPr="3498F243">
        <w:rPr>
          <w:i/>
          <w:iCs/>
        </w:rPr>
        <w:t xml:space="preserve"> and we assume no change to the existing investment instruction. </w:t>
      </w:r>
    </w:p>
    <w:p w14:paraId="1403256C" w14:textId="77777777" w:rsidR="00774C9E" w:rsidRPr="007152A7" w:rsidRDefault="00774C9E" w:rsidP="00774C9E">
      <w:pPr>
        <w:ind w:left="45"/>
        <w:rPr>
          <w:i/>
          <w:iCs/>
        </w:rPr>
      </w:pPr>
      <w:r w:rsidRPr="3498F243">
        <w:rPr>
          <w:i/>
          <w:iCs/>
        </w:rPr>
        <w:t>If this option is selected, we also show these same metrics with all else being equal, but investment in portfolios one level of risk higher and lower – e.g. if client is in GP Dynamic (risk level 6 of 7), we show GP Growth (risk level 5 of 7) and GP Total Equity (risk level 7 of 7).</w:t>
      </w:r>
      <w:r>
        <w:t xml:space="preserve"> </w:t>
      </w:r>
    </w:p>
    <w:p w14:paraId="57BF6C10" w14:textId="77777777" w:rsidR="00774C9E" w:rsidRPr="00C46CEE" w:rsidRDefault="00774C9E" w:rsidP="00774C9E">
      <w:pPr>
        <w:rPr>
          <w:u w:val="single"/>
        </w:rPr>
      </w:pPr>
      <w:r w:rsidRPr="00C46CEE">
        <w:rPr>
          <w:u w:val="single"/>
        </w:rPr>
        <w:t xml:space="preserve">Rationale </w:t>
      </w:r>
    </w:p>
    <w:p w14:paraId="65A174C2" w14:textId="77777777" w:rsidR="00774C9E" w:rsidRDefault="00774C9E" w:rsidP="00774C9E">
      <w:pPr>
        <w:pStyle w:val="ListParagraph"/>
        <w:numPr>
          <w:ilvl w:val="0"/>
          <w:numId w:val="4"/>
        </w:numPr>
      </w:pPr>
      <w:r>
        <w:t xml:space="preserve">In customer illustrations, we use FCA projection rates, which are deterministic and support a charges comparison and product comparison between providers. </w:t>
      </w:r>
    </w:p>
    <w:p w14:paraId="7E09133C" w14:textId="77777777" w:rsidR="00774C9E" w:rsidRDefault="00774C9E" w:rsidP="00774C9E">
      <w:pPr>
        <w:pStyle w:val="ListParagraph"/>
        <w:numPr>
          <w:ilvl w:val="0"/>
          <w:numId w:val="4"/>
        </w:numPr>
        <w:rPr>
          <w:rFonts w:ascii="Aptos" w:hAnsi="Aptos"/>
          <w:color w:val="000000" w:themeColor="text1"/>
        </w:rPr>
      </w:pPr>
      <w:r>
        <w:t xml:space="preserve">For clients invested with us, we believe it is more important to show realistic outcomes, so we use stochastic assumptions from our Moody’s economic scenario model, which is intended to provide a best estimate view. These assumptions are updated quarterly. </w:t>
      </w:r>
    </w:p>
    <w:p w14:paraId="3D33E00E" w14:textId="77777777" w:rsidR="00774C9E" w:rsidRDefault="00774C9E" w:rsidP="00774C9E">
      <w:pPr>
        <w:pStyle w:val="ListParagraph"/>
        <w:numPr>
          <w:ilvl w:val="0"/>
          <w:numId w:val="4"/>
        </w:numPr>
        <w:rPr>
          <w:rFonts w:ascii="Aptos" w:hAnsi="Aptos"/>
          <w:color w:val="000000" w:themeColor="text1"/>
        </w:rPr>
      </w:pPr>
      <w:r>
        <w:rPr>
          <w:rFonts w:ascii="Aptos" w:hAnsi="Aptos"/>
          <w:color w:val="000000" w:themeColor="text1"/>
        </w:rPr>
        <w:t>We show the</w:t>
      </w:r>
      <w:r w:rsidRPr="3498F243">
        <w:rPr>
          <w:rFonts w:ascii="Aptos" w:hAnsi="Aptos"/>
          <w:color w:val="000000" w:themeColor="text1"/>
        </w:rPr>
        <w:t xml:space="preserve"> expected annual growth rate for the current investment option</w:t>
      </w:r>
      <w:r>
        <w:rPr>
          <w:rFonts w:ascii="Aptos" w:hAnsi="Aptos"/>
          <w:color w:val="000000" w:themeColor="text1"/>
        </w:rPr>
        <w:t xml:space="preserve">, which </w:t>
      </w:r>
      <w:r w:rsidRPr="3498F243">
        <w:rPr>
          <w:rFonts w:ascii="Aptos" w:hAnsi="Aptos"/>
          <w:color w:val="000000" w:themeColor="text1"/>
        </w:rPr>
        <w:t xml:space="preserve">is </w:t>
      </w:r>
      <w:r>
        <w:rPr>
          <w:rFonts w:ascii="Aptos" w:hAnsi="Aptos"/>
          <w:color w:val="000000" w:themeColor="text1"/>
        </w:rPr>
        <w:t>a</w:t>
      </w:r>
      <w:r w:rsidRPr="3498F243">
        <w:rPr>
          <w:rFonts w:ascii="Aptos" w:hAnsi="Aptos"/>
          <w:color w:val="000000" w:themeColor="text1"/>
        </w:rPr>
        <w:t xml:space="preserve"> key metric. While helpful for retirement plans, we also emphasise how these returns are distributed by presenting additional metrics that are particularly relevant during drawdown.</w:t>
      </w:r>
    </w:p>
    <w:p w14:paraId="0A274B49" w14:textId="77777777" w:rsidR="00774C9E" w:rsidRDefault="00774C9E" w:rsidP="00774C9E">
      <w:pPr>
        <w:pStyle w:val="ListParagraph"/>
        <w:numPr>
          <w:ilvl w:val="0"/>
          <w:numId w:val="4"/>
        </w:numPr>
      </w:pPr>
      <w:r w:rsidRPr="00F5352B">
        <w:t>Based on Moody’s best-estimate assumptions, we show the probability that the current investment choice will outperform</w:t>
      </w:r>
      <w:r>
        <w:t xml:space="preserve"> expectations of the retail price index (RPI)</w:t>
      </w:r>
      <w:r w:rsidRPr="00F5352B">
        <w:t>. This helps indicate whether the investment choice, and therefore the plan, is likely to keep pace with expected increases in living costs. We also show the probability of outperforming a cash fund as a comparator.</w:t>
      </w:r>
      <w:r>
        <w:t xml:space="preserve"> </w:t>
      </w:r>
    </w:p>
    <w:p w14:paraId="207FECF7" w14:textId="77777777" w:rsidR="00774C9E" w:rsidRDefault="00774C9E" w:rsidP="00774C9E">
      <w:pPr>
        <w:pStyle w:val="ListParagraph"/>
        <w:numPr>
          <w:ilvl w:val="0"/>
          <w:numId w:val="10"/>
        </w:numPr>
        <w:ind w:left="660"/>
        <w:rPr>
          <w:rFonts w:ascii="Aptos" w:hAnsi="Aptos"/>
          <w:color w:val="000000" w:themeColor="text1"/>
        </w:rPr>
      </w:pPr>
      <w:r w:rsidRPr="00646183">
        <w:rPr>
          <w:rFonts w:ascii="Aptos" w:hAnsi="Aptos"/>
          <w:color w:val="000000" w:themeColor="text1"/>
        </w:rPr>
        <w:t xml:space="preserve">To illustrate downside investment risk, we </w:t>
      </w:r>
      <w:r>
        <w:rPr>
          <w:rFonts w:ascii="Aptos" w:hAnsi="Aptos"/>
          <w:color w:val="000000" w:themeColor="text1"/>
        </w:rPr>
        <w:t xml:space="preserve">present </w:t>
      </w:r>
      <w:r w:rsidRPr="00646183">
        <w:rPr>
          <w:rFonts w:ascii="Aptos" w:hAnsi="Aptos"/>
          <w:color w:val="000000" w:themeColor="text1"/>
        </w:rPr>
        <w:t>the 1-in-20 maximum one-year loss metric. This represents the type of loss that could occur in a particularly poor market year, rather than the worst possible outcome. In practice, it reflects a level of loss expected to occur around once every 20 years on average. We believe the 1-in-20, or 5th percentile metric provides a reasonable balance between realism and prudence by capturing a meaningful adverse market outcome without placing too much weight on extreme scenarios, which may be driven by rare market shocks or modelling uncertainty.</w:t>
      </w:r>
      <w:r w:rsidRPr="00646183" w:rsidDel="00646183">
        <w:rPr>
          <w:rFonts w:ascii="Aptos" w:hAnsi="Aptos"/>
          <w:color w:val="000000" w:themeColor="text1"/>
        </w:rPr>
        <w:t xml:space="preserve"> </w:t>
      </w:r>
    </w:p>
    <w:p w14:paraId="66B2711B" w14:textId="77777777" w:rsidR="00774C9E" w:rsidRPr="00C533FA" w:rsidRDefault="00774C9E" w:rsidP="00774C9E">
      <w:pPr>
        <w:pStyle w:val="ListParagraph"/>
        <w:numPr>
          <w:ilvl w:val="0"/>
          <w:numId w:val="10"/>
        </w:numPr>
        <w:ind w:left="660"/>
        <w:rPr>
          <w:rFonts w:ascii="Aptos" w:hAnsi="Aptos"/>
          <w:color w:val="000000" w:themeColor="text1"/>
        </w:rPr>
      </w:pPr>
      <w:r w:rsidRPr="00C533FA">
        <w:rPr>
          <w:rFonts w:ascii="Aptos" w:hAnsi="Aptos"/>
          <w:color w:val="000000" w:themeColor="text1"/>
        </w:rPr>
        <w:t>Clients may draw income when markets are performing well or poorly, so we show maximum drawdown to help illustrate sequencing risk. This measures the largest fall in investment returns following a period of growth. It complements the 1-in-20 loss metric by showing the impact of sustained adverse market conditions, helping clients understand the potential scale of losses</w:t>
      </w:r>
      <w:r>
        <w:rPr>
          <w:rFonts w:ascii="Aptos" w:hAnsi="Aptos"/>
          <w:color w:val="000000" w:themeColor="text1"/>
        </w:rPr>
        <w:t xml:space="preserve"> from their investment choice</w:t>
      </w:r>
      <w:r w:rsidRPr="00C533FA">
        <w:rPr>
          <w:rFonts w:ascii="Aptos" w:hAnsi="Aptos"/>
          <w:color w:val="000000" w:themeColor="text1"/>
        </w:rPr>
        <w:t xml:space="preserve"> and providing a fuller view of downside risk.</w:t>
      </w:r>
      <w:r w:rsidRPr="00C533FA" w:rsidDel="009F59B5">
        <w:rPr>
          <w:rFonts w:ascii="Aptos" w:hAnsi="Aptos"/>
          <w:color w:val="000000" w:themeColor="text1"/>
        </w:rPr>
        <w:t xml:space="preserve"> </w:t>
      </w:r>
    </w:p>
    <w:p w14:paraId="66AA0D8B" w14:textId="77777777" w:rsidR="00774C9E" w:rsidRDefault="00774C9E" w:rsidP="00774C9E">
      <w:pPr>
        <w:numPr>
          <w:ilvl w:val="0"/>
          <w:numId w:val="4"/>
        </w:numPr>
      </w:pPr>
      <w:r>
        <w:t xml:space="preserve">We show outcomes in higher and lower investment strategies to illustrate </w:t>
      </w:r>
      <w:proofErr w:type="gramStart"/>
      <w:r>
        <w:t>potential  opportunities</w:t>
      </w:r>
      <w:proofErr w:type="gramEnd"/>
      <w:r>
        <w:t xml:space="preserve">. A client’s attitude to risk preference is influenced by some deeply rooted personal characteristics, but also by their level of understanding and confidence. Education can therefore play a part in increasing wiliness to take risk and – potentially therefore – better outcomes. </w:t>
      </w:r>
      <w:r w:rsidRPr="000A4249">
        <w:t xml:space="preserve">It complements the 1-in-20 </w:t>
      </w:r>
      <w:r>
        <w:t xml:space="preserve">1-year </w:t>
      </w:r>
      <w:r w:rsidRPr="000A4249">
        <w:t xml:space="preserve">loss metric by capturing the impact of prolonged adverse market conditions, helping </w:t>
      </w:r>
      <w:r>
        <w:t>clients</w:t>
      </w:r>
      <w:r w:rsidRPr="000A4249">
        <w:t xml:space="preserve"> understand the potential scale of sustained losses and providing a more complete view of downside risk.</w:t>
      </w:r>
    </w:p>
    <w:p w14:paraId="24D68D8D" w14:textId="77777777" w:rsidR="00774C9E" w:rsidRDefault="00774C9E" w:rsidP="00774C9E">
      <w:pPr>
        <w:pStyle w:val="ListParagraph"/>
        <w:numPr>
          <w:ilvl w:val="0"/>
          <w:numId w:val="4"/>
        </w:numPr>
      </w:pPr>
      <w:r>
        <w:t xml:space="preserve">The purpose of showing outcomes for a range of investments is also to highlight whether it is more risk or less that would lead to better outcomes. In decumulation, sustainable income is impacted by a downside scenario, and so higher risk could lead to lower sustainability. We believe this is informative, and this trade-off is why we show the range of outcomes, not just a central outcome, when comparing investment strategies. </w:t>
      </w:r>
    </w:p>
    <w:p w14:paraId="56011DF5" w14:textId="77777777" w:rsidR="00774C9E" w:rsidRDefault="00774C9E" w:rsidP="00774C9E">
      <w:pPr>
        <w:pStyle w:val="ListParagraph"/>
        <w:numPr>
          <w:ilvl w:val="0"/>
          <w:numId w:val="4"/>
        </w:numPr>
      </w:pPr>
      <w:r>
        <w:t xml:space="preserve">We only show this comparison to alternative investments where clients are invested in Governed Range portfolios as we do not make any performance forecasts on third party funds. </w:t>
      </w:r>
    </w:p>
    <w:p w14:paraId="03E721A4" w14:textId="77777777" w:rsidR="00774C9E" w:rsidRDefault="00774C9E" w:rsidP="00774C9E">
      <w:pPr>
        <w:pStyle w:val="ListParagraph"/>
        <w:numPr>
          <w:ilvl w:val="0"/>
          <w:numId w:val="4"/>
        </w:numPr>
      </w:pPr>
      <w:r>
        <w:t xml:space="preserve">Where a client is invested in our lowest risk portfolio, we will only show the impact of investment in a portfolio with higher investment risk. Similarly, where a client in invested in our highest risk portfolio, we will only show the impact of investment in a lower risk portfolio. </w:t>
      </w:r>
    </w:p>
    <w:p w14:paraId="550237B1" w14:textId="77777777" w:rsidR="00774C9E" w:rsidRDefault="00774C9E" w:rsidP="00774C9E"/>
    <w:p w14:paraId="511F5419" w14:textId="77777777" w:rsidR="00774C9E" w:rsidRPr="00A96688" w:rsidRDefault="00774C9E" w:rsidP="00774C9E">
      <w:pPr>
        <w:pStyle w:val="ListParagraph"/>
        <w:numPr>
          <w:ilvl w:val="0"/>
          <w:numId w:val="1"/>
        </w:numPr>
        <w:rPr>
          <w:b/>
          <w:bCs/>
        </w:rPr>
      </w:pPr>
      <w:r w:rsidRPr="00A96688">
        <w:rPr>
          <w:b/>
          <w:bCs/>
        </w:rPr>
        <w:t>Do you want to include annuity monitoring?</w:t>
      </w:r>
    </w:p>
    <w:p w14:paraId="39EA11E8" w14:textId="77777777" w:rsidR="00774C9E" w:rsidRPr="00625463" w:rsidRDefault="00774C9E" w:rsidP="00774C9E">
      <w:pPr>
        <w:spacing w:after="0" w:line="300" w:lineRule="auto"/>
        <w:rPr>
          <w:rFonts w:eastAsiaTheme="minorEastAsia"/>
          <w:i/>
          <w:iCs/>
        </w:rPr>
      </w:pPr>
      <w:r w:rsidRPr="072219F6">
        <w:rPr>
          <w:rFonts w:eastAsiaTheme="minorEastAsia"/>
          <w:i/>
          <w:iCs/>
        </w:rPr>
        <w:t>We display an annuity quote based on best available open market rates sourced via IRESS, tailored to the client’s current age and assuming a healthy life. Both level and inflation-linked single-life and joint-life annuities are shown</w:t>
      </w:r>
      <w:r w:rsidRPr="614C81DB">
        <w:rPr>
          <w:rFonts w:eastAsiaTheme="minorEastAsia"/>
          <w:i/>
          <w:iCs/>
        </w:rPr>
        <w:t xml:space="preserve"> </w:t>
      </w:r>
      <w:r w:rsidRPr="220BA240">
        <w:rPr>
          <w:rFonts w:eastAsiaTheme="minorEastAsia"/>
          <w:i/>
          <w:iCs/>
        </w:rPr>
        <w:t xml:space="preserve">by default </w:t>
      </w:r>
      <w:r w:rsidRPr="41D962B2">
        <w:rPr>
          <w:rFonts w:eastAsiaTheme="minorEastAsia"/>
          <w:i/>
          <w:iCs/>
        </w:rPr>
        <w:t xml:space="preserve">unless </w:t>
      </w:r>
      <w:r w:rsidRPr="6BBF9D7E">
        <w:rPr>
          <w:rFonts w:eastAsiaTheme="minorEastAsia"/>
          <w:i/>
          <w:iCs/>
        </w:rPr>
        <w:t xml:space="preserve">the </w:t>
      </w:r>
      <w:r w:rsidRPr="255E82F5">
        <w:rPr>
          <w:rFonts w:eastAsiaTheme="minorEastAsia"/>
          <w:i/>
          <w:iCs/>
        </w:rPr>
        <w:t>annuity</w:t>
      </w:r>
      <w:r w:rsidRPr="6BBF9D7E">
        <w:rPr>
          <w:rFonts w:eastAsiaTheme="minorEastAsia"/>
          <w:i/>
          <w:iCs/>
        </w:rPr>
        <w:t xml:space="preserve"> section is</w:t>
      </w:r>
      <w:r w:rsidRPr="3FE0FB54">
        <w:rPr>
          <w:rFonts w:eastAsiaTheme="minorEastAsia"/>
          <w:i/>
          <w:iCs/>
        </w:rPr>
        <w:t xml:space="preserve"> switched </w:t>
      </w:r>
      <w:r w:rsidRPr="5862096F">
        <w:rPr>
          <w:rFonts w:eastAsiaTheme="minorEastAsia"/>
          <w:i/>
          <w:iCs/>
        </w:rPr>
        <w:t>off</w:t>
      </w:r>
      <w:r w:rsidRPr="20FE3B72">
        <w:rPr>
          <w:rFonts w:eastAsiaTheme="minorEastAsia"/>
          <w:i/>
          <w:iCs/>
        </w:rPr>
        <w:t>.</w:t>
      </w:r>
      <w:r w:rsidRPr="072219F6">
        <w:rPr>
          <w:rFonts w:eastAsiaTheme="minorEastAsia"/>
          <w:i/>
          <w:iCs/>
        </w:rPr>
        <w:t xml:space="preserve"> Rates exclude any value protection or guarantee features. </w:t>
      </w:r>
    </w:p>
    <w:p w14:paraId="63BDCE6A" w14:textId="77777777" w:rsidR="00774C9E" w:rsidRDefault="00774C9E" w:rsidP="00774C9E">
      <w:pPr>
        <w:spacing w:after="0" w:line="300" w:lineRule="auto"/>
        <w:rPr>
          <w:rFonts w:eastAsiaTheme="minorEastAsia"/>
          <w:i/>
          <w:iCs/>
        </w:rPr>
      </w:pPr>
    </w:p>
    <w:p w14:paraId="03A4B03F" w14:textId="77777777" w:rsidR="00774C9E" w:rsidRPr="00EA4CB9" w:rsidRDefault="00774C9E" w:rsidP="00774C9E">
      <w:pPr>
        <w:rPr>
          <w:u w:val="single"/>
        </w:rPr>
      </w:pPr>
      <w:r w:rsidRPr="5D1AE08A">
        <w:rPr>
          <w:u w:val="single"/>
        </w:rPr>
        <w:t>Rationale</w:t>
      </w:r>
    </w:p>
    <w:p w14:paraId="600A1E67" w14:textId="77777777" w:rsidR="00774C9E" w:rsidRDefault="00774C9E" w:rsidP="00774C9E">
      <w:pPr>
        <w:pStyle w:val="ListParagraph"/>
        <w:numPr>
          <w:ilvl w:val="0"/>
          <w:numId w:val="5"/>
        </w:numPr>
      </w:pPr>
      <w:r>
        <w:t xml:space="preserve">We do not hold health information on our long-term savings customer, so we can only provide quotes based on good health. </w:t>
      </w:r>
    </w:p>
    <w:p w14:paraId="7F3D3420" w14:textId="77777777" w:rsidR="00774C9E" w:rsidRDefault="00774C9E" w:rsidP="00774C9E">
      <w:pPr>
        <w:pStyle w:val="ListParagraph"/>
        <w:numPr>
          <w:ilvl w:val="0"/>
          <w:numId w:val="5"/>
        </w:numPr>
      </w:pPr>
      <w:r>
        <w:t xml:space="preserve">Regardless of whether a client’s drawdown income instruction is level or increasing, we provide annuity quotes on both a level and a CPI-linked basis. Even where clients are set up level drawdown income, we know that advisers will periodically review this income to reflect real costs and spending. Purchasing an annuity is a long-term decision, after which income pattern cannot be reviewed, and we therefore believe both rates may provide useful insight. </w:t>
      </w:r>
    </w:p>
    <w:p w14:paraId="6A05A03D" w14:textId="77777777" w:rsidR="00774C9E" w:rsidRDefault="00774C9E" w:rsidP="00774C9E">
      <w:pPr>
        <w:pStyle w:val="ListParagraph"/>
        <w:numPr>
          <w:ilvl w:val="0"/>
          <w:numId w:val="5"/>
        </w:numPr>
      </w:pPr>
      <w:r>
        <w:t xml:space="preserve">We show open market rates as we know the annuity market is commoditised, with advisers typically selecting a product based on best rates. We believe this is therefore the most useful comparison. </w:t>
      </w:r>
    </w:p>
    <w:p w14:paraId="74E144A9" w14:textId="77777777" w:rsidR="00774C9E" w:rsidRDefault="00774C9E" w:rsidP="00774C9E">
      <w:pPr>
        <w:pStyle w:val="ListParagraph"/>
        <w:numPr>
          <w:ilvl w:val="0"/>
          <w:numId w:val="5"/>
        </w:numPr>
      </w:pPr>
      <w:r>
        <w:t xml:space="preserve">We show single life rates as this is most comparable to the sustainable drawdown rates shown, which are based on a level income payable to an individual over a time horizon linked to their life alone. </w:t>
      </w:r>
    </w:p>
    <w:p w14:paraId="0113F4F2" w14:textId="77777777" w:rsidR="00774C9E" w:rsidRDefault="00774C9E" w:rsidP="00774C9E">
      <w:pPr>
        <w:pStyle w:val="ListParagraph"/>
        <w:numPr>
          <w:ilvl w:val="0"/>
          <w:numId w:val="5"/>
        </w:numPr>
      </w:pPr>
      <w:r>
        <w:t xml:space="preserve">We show rates without value protection of guarantee features to keep comparison simple. One of the purposes of this comparison is to help illustrate the trade-offs in retirement decision making, and the key trade-off between drawdown and annuity is the giving up of any residual future value on death in return for a guaranteed income for life. Including annuity rates with guarantees or value protection would be a less differentiated comparison. </w:t>
      </w:r>
    </w:p>
    <w:p w14:paraId="75A88A9A" w14:textId="77777777" w:rsidR="00774C9E" w:rsidRDefault="00774C9E" w:rsidP="00774C9E"/>
    <w:p w14:paraId="5DDA39F8" w14:textId="77777777" w:rsidR="00774C9E" w:rsidRPr="00A96688" w:rsidRDefault="00774C9E" w:rsidP="00774C9E">
      <w:pPr>
        <w:pStyle w:val="ListParagraph"/>
        <w:numPr>
          <w:ilvl w:val="0"/>
          <w:numId w:val="1"/>
        </w:numPr>
        <w:rPr>
          <w:b/>
          <w:bCs/>
        </w:rPr>
      </w:pPr>
      <w:r w:rsidRPr="00A96688">
        <w:rPr>
          <w:b/>
          <w:bCs/>
        </w:rPr>
        <w:t>Do you want to include an inflation scenario?</w:t>
      </w:r>
    </w:p>
    <w:p w14:paraId="17EEC66C" w14:textId="77777777" w:rsidR="00774C9E" w:rsidRPr="00234934" w:rsidRDefault="00774C9E" w:rsidP="00774C9E">
      <w:pPr>
        <w:ind w:left="360"/>
        <w:rPr>
          <w:rFonts w:eastAsiaTheme="minorEastAsia"/>
          <w:i/>
          <w:iCs/>
        </w:rPr>
      </w:pPr>
      <w:r w:rsidRPr="63CEE9FD">
        <w:rPr>
          <w:rFonts w:eastAsiaTheme="minorEastAsia"/>
          <w:i/>
          <w:iCs/>
        </w:rPr>
        <w:t xml:space="preserve">PCRS calculates </w:t>
      </w:r>
      <w:r w:rsidRPr="63CEE9FD" w:rsidDel="008777B8">
        <w:rPr>
          <w:rFonts w:eastAsiaTheme="minorEastAsia"/>
          <w:i/>
          <w:iCs/>
        </w:rPr>
        <w:t>an</w:t>
      </w:r>
      <w:r w:rsidRPr="63CEE9FD">
        <w:rPr>
          <w:rFonts w:eastAsiaTheme="minorEastAsia"/>
          <w:i/>
          <w:iCs/>
        </w:rPr>
        <w:t xml:space="preserve"> inflation scenario by re-running its stochastic sustainability model with </w:t>
      </w:r>
      <w:r>
        <w:rPr>
          <w:rFonts w:eastAsiaTheme="minorEastAsia"/>
          <w:i/>
          <w:iCs/>
        </w:rPr>
        <w:t xml:space="preserve">instructed income </w:t>
      </w:r>
      <w:r w:rsidRPr="63CEE9FD">
        <w:rPr>
          <w:rFonts w:eastAsiaTheme="minorEastAsia"/>
          <w:i/>
          <w:iCs/>
        </w:rPr>
        <w:t>linked to a forecast of CPI inflation. Consistent sustainability metrics to those shown elsewhere in the report for a level income are presented for comparison.</w:t>
      </w:r>
    </w:p>
    <w:p w14:paraId="3E3EE338" w14:textId="77777777" w:rsidR="00774C9E" w:rsidRDefault="00774C9E" w:rsidP="00774C9E">
      <w:pPr>
        <w:spacing w:after="0" w:line="300" w:lineRule="auto"/>
        <w:rPr>
          <w:rFonts w:eastAsiaTheme="minorEastAsia"/>
          <w:u w:val="single"/>
        </w:rPr>
      </w:pPr>
      <w:r w:rsidRPr="5D1AE08A">
        <w:rPr>
          <w:rFonts w:eastAsiaTheme="minorEastAsia"/>
          <w:u w:val="single"/>
        </w:rPr>
        <w:t>Rationale</w:t>
      </w:r>
    </w:p>
    <w:p w14:paraId="0D9FA7D9" w14:textId="77777777" w:rsidR="00774C9E" w:rsidRDefault="00774C9E" w:rsidP="00774C9E">
      <w:pPr>
        <w:pStyle w:val="ListParagraph"/>
        <w:numPr>
          <w:ilvl w:val="0"/>
          <w:numId w:val="6"/>
        </w:numPr>
        <w:rPr>
          <w:rFonts w:eastAsiaTheme="minorEastAsia"/>
        </w:rPr>
      </w:pPr>
      <w:r w:rsidRPr="072219F6">
        <w:rPr>
          <w:rFonts w:eastAsiaTheme="minorEastAsia"/>
        </w:rPr>
        <w:t xml:space="preserve">Over the long term, inflation can significantly erode real spending power of a level income. While many retirees’ lifestyles slow down over time meaning full inflation proofing isn’t necessary, we believe it is useful to understand the impact on sustainability if income were to be increased in the future. </w:t>
      </w:r>
    </w:p>
    <w:p w14:paraId="40F6F4C4" w14:textId="77777777" w:rsidR="00774C9E" w:rsidRDefault="00774C9E" w:rsidP="00774C9E">
      <w:pPr>
        <w:pStyle w:val="ListParagraph"/>
        <w:numPr>
          <w:ilvl w:val="0"/>
          <w:numId w:val="6"/>
        </w:numPr>
        <w:rPr>
          <w:rFonts w:eastAsiaTheme="minorEastAsia"/>
        </w:rPr>
      </w:pPr>
      <w:r>
        <w:rPr>
          <w:rFonts w:eastAsiaTheme="minorEastAsia"/>
        </w:rPr>
        <w:t>T</w:t>
      </w:r>
      <w:r w:rsidRPr="00360306">
        <w:rPr>
          <w:rFonts w:eastAsiaTheme="minorEastAsia"/>
        </w:rPr>
        <w:t>o provide a realistic scenario, we</w:t>
      </w:r>
      <w:r>
        <w:rPr>
          <w:rFonts w:eastAsiaTheme="minorEastAsia"/>
        </w:rPr>
        <w:t xml:space="preserve"> </w:t>
      </w:r>
      <w:r w:rsidRPr="00360306">
        <w:rPr>
          <w:rFonts w:eastAsiaTheme="minorEastAsia"/>
        </w:rPr>
        <w:t>inflate all expected money in and out of the plan, including any charges and contributions.</w:t>
      </w:r>
    </w:p>
    <w:p w14:paraId="5D18E13D" w14:textId="77777777" w:rsidR="00774C9E" w:rsidRPr="00F86879" w:rsidRDefault="00774C9E" w:rsidP="00774C9E">
      <w:pPr>
        <w:numPr>
          <w:ilvl w:val="0"/>
          <w:numId w:val="6"/>
        </w:numPr>
        <w:spacing w:after="0" w:line="300" w:lineRule="auto"/>
      </w:pPr>
      <w:r>
        <w:t xml:space="preserve">Inflation is run stochastically rather than using a deterministic assumption. This is because inflation is not a fixed outcome and, over the long-term, is correlated with market returns. </w:t>
      </w:r>
    </w:p>
    <w:p w14:paraId="1E85B96E" w14:textId="77777777" w:rsidR="00774C9E" w:rsidRPr="008B66F0" w:rsidRDefault="00774C9E" w:rsidP="00774C9E">
      <w:pPr>
        <w:numPr>
          <w:ilvl w:val="0"/>
          <w:numId w:val="6"/>
        </w:numPr>
      </w:pPr>
      <w:r>
        <w:t xml:space="preserve">We use CPI as a broad and commonly understood inflation metric. </w:t>
      </w:r>
    </w:p>
    <w:p w14:paraId="0B276364" w14:textId="77777777" w:rsidR="00774C9E" w:rsidRPr="001F37D5" w:rsidRDefault="00774C9E" w:rsidP="00774C9E">
      <w:pPr>
        <w:spacing w:after="0" w:line="300" w:lineRule="auto"/>
        <w:rPr>
          <w:rFonts w:eastAsiaTheme="minorEastAsia"/>
        </w:rPr>
      </w:pPr>
    </w:p>
    <w:p w14:paraId="011CB02D" w14:textId="77777777" w:rsidR="00774C9E" w:rsidRDefault="00774C9E" w:rsidP="00774C9E">
      <w:pPr>
        <w:pStyle w:val="ListParagraph"/>
        <w:numPr>
          <w:ilvl w:val="0"/>
          <w:numId w:val="1"/>
        </w:numPr>
        <w:rPr>
          <w:b/>
          <w:bCs/>
        </w:rPr>
      </w:pPr>
      <w:r w:rsidRPr="00A96688">
        <w:rPr>
          <w:b/>
          <w:bCs/>
        </w:rPr>
        <w:t>Do you want to include the large withdrawal scenario?</w:t>
      </w:r>
    </w:p>
    <w:p w14:paraId="449F4E58" w14:textId="77777777" w:rsidR="00774C9E" w:rsidRPr="009635ED" w:rsidRDefault="00774C9E" w:rsidP="00774C9E">
      <w:pPr>
        <w:rPr>
          <w:i/>
          <w:iCs/>
        </w:rPr>
      </w:pPr>
      <w:r w:rsidRPr="009635ED">
        <w:rPr>
          <w:i/>
          <w:iCs/>
        </w:rPr>
        <w:t xml:space="preserve">We show the impact on sustainability of a plan if the client were to take 2x the planned income in the next 12 months. </w:t>
      </w:r>
    </w:p>
    <w:p w14:paraId="2E8D4EF4" w14:textId="77777777" w:rsidR="00774C9E" w:rsidRPr="00D510CF" w:rsidRDefault="00774C9E" w:rsidP="00774C9E">
      <w:pPr>
        <w:rPr>
          <w:u w:val="single"/>
        </w:rPr>
      </w:pPr>
      <w:r w:rsidRPr="00D510CF">
        <w:rPr>
          <w:u w:val="single"/>
        </w:rPr>
        <w:t>Rationale</w:t>
      </w:r>
    </w:p>
    <w:p w14:paraId="7E1AA26E" w14:textId="41568E23" w:rsidR="00774C9E" w:rsidRDefault="00774C9E" w:rsidP="00774C9E">
      <w:pPr>
        <w:pStyle w:val="ListParagraph"/>
        <w:numPr>
          <w:ilvl w:val="0"/>
          <w:numId w:val="6"/>
        </w:numPr>
      </w:pPr>
      <w:r>
        <w:t xml:space="preserve">A primary benefit of Drawdown is the ability to take income flexibly, and to react to unplanned events. This scenario is intended to help illustrate how resilient a plan is to an unplanned lump sum withdrawal. </w:t>
      </w:r>
      <w:r>
        <w:lastRenderedPageBreak/>
        <w:t>This is modelled by considering a one-off withdrawal</w:t>
      </w:r>
      <w:r w:rsidR="001D760F">
        <w:t xml:space="preserve"> in one years’ time</w:t>
      </w:r>
      <w:r>
        <w:t xml:space="preserve"> equivalent to one years’ worth of income (additional to the planned income in the year). </w:t>
      </w:r>
    </w:p>
    <w:p w14:paraId="5ED65437" w14:textId="77777777" w:rsidR="00774C9E" w:rsidRDefault="00774C9E" w:rsidP="00774C9E">
      <w:pPr>
        <w:pStyle w:val="ListParagraph"/>
        <w:numPr>
          <w:ilvl w:val="0"/>
          <w:numId w:val="6"/>
        </w:numPr>
      </w:pPr>
      <w:r>
        <w:t xml:space="preserve">We model a scenario that is proportional to regular income to ensure this is a meaningful stress for clients with differing levels of wealth. </w:t>
      </w:r>
    </w:p>
    <w:p w14:paraId="5F699E5E" w14:textId="77777777" w:rsidR="00774C9E" w:rsidRPr="00EA01A2" w:rsidRDefault="00774C9E" w:rsidP="00774C9E">
      <w:pPr>
        <w:pStyle w:val="ListParagraph"/>
        <w:numPr>
          <w:ilvl w:val="0"/>
          <w:numId w:val="6"/>
        </w:numPr>
      </w:pPr>
      <w:r>
        <w:t xml:space="preserve">We model a lump sum of one year’s income because we know clients often have reserves outside of pension (e.g. bank account savings) that they would use for smaller unplanned events. Pension withdrawal is therefore less likely to be used for low-value withdrawals. </w:t>
      </w:r>
    </w:p>
    <w:p w14:paraId="68E283FC" w14:textId="77777777" w:rsidR="00774C9E" w:rsidRDefault="00774C9E"/>
    <w:p w14:paraId="4D65D08B" w14:textId="77777777" w:rsidR="002501BE" w:rsidRPr="002501BE" w:rsidRDefault="002501BE" w:rsidP="002501BE"/>
    <w:p w14:paraId="14CF68BC" w14:textId="77777777" w:rsidR="002501BE" w:rsidRPr="002501BE" w:rsidRDefault="002501BE" w:rsidP="002501BE"/>
    <w:p w14:paraId="194DE223" w14:textId="77777777" w:rsidR="002501BE" w:rsidRPr="002501BE" w:rsidRDefault="002501BE" w:rsidP="002501BE"/>
    <w:p w14:paraId="1A11DC9C" w14:textId="77777777" w:rsidR="002501BE" w:rsidRPr="002501BE" w:rsidRDefault="002501BE" w:rsidP="002501BE"/>
    <w:p w14:paraId="1DD6C0A2" w14:textId="77777777" w:rsidR="002501BE" w:rsidRPr="002501BE" w:rsidRDefault="002501BE" w:rsidP="002501BE"/>
    <w:p w14:paraId="3198D0CE" w14:textId="77777777" w:rsidR="002501BE" w:rsidRPr="002501BE" w:rsidRDefault="002501BE" w:rsidP="002501BE"/>
    <w:p w14:paraId="67AAC020" w14:textId="77777777" w:rsidR="002501BE" w:rsidRPr="002501BE" w:rsidRDefault="002501BE" w:rsidP="002501BE"/>
    <w:p w14:paraId="4551C6D5" w14:textId="77777777" w:rsidR="002501BE" w:rsidRPr="002501BE" w:rsidRDefault="002501BE" w:rsidP="002501BE"/>
    <w:p w14:paraId="24DF89B1" w14:textId="77777777" w:rsidR="002501BE" w:rsidRPr="002501BE" w:rsidRDefault="002501BE" w:rsidP="002501BE"/>
    <w:p w14:paraId="007EC7D4" w14:textId="77777777" w:rsidR="002501BE" w:rsidRPr="002501BE" w:rsidRDefault="002501BE" w:rsidP="002501BE"/>
    <w:p w14:paraId="076A6306" w14:textId="77777777" w:rsidR="002501BE" w:rsidRPr="002501BE" w:rsidRDefault="002501BE" w:rsidP="002501BE"/>
    <w:p w14:paraId="2CAF32AF" w14:textId="77777777" w:rsidR="002501BE" w:rsidRPr="002501BE" w:rsidRDefault="002501BE" w:rsidP="002501BE"/>
    <w:p w14:paraId="0115E78F" w14:textId="77777777" w:rsidR="002501BE" w:rsidRPr="002501BE" w:rsidRDefault="002501BE" w:rsidP="002501BE"/>
    <w:p w14:paraId="65156F8E" w14:textId="77777777" w:rsidR="002501BE" w:rsidRPr="002501BE" w:rsidRDefault="002501BE" w:rsidP="002501BE"/>
    <w:p w14:paraId="0C04AAAF" w14:textId="77777777" w:rsidR="002501BE" w:rsidRPr="002501BE" w:rsidRDefault="002501BE" w:rsidP="002501BE"/>
    <w:p w14:paraId="7613B3D1" w14:textId="77777777" w:rsidR="002501BE" w:rsidRPr="002501BE" w:rsidRDefault="002501BE" w:rsidP="002501BE"/>
    <w:p w14:paraId="5B3131A1" w14:textId="77777777" w:rsidR="002501BE" w:rsidRPr="002501BE" w:rsidRDefault="002501BE" w:rsidP="002501BE"/>
    <w:p w14:paraId="7202CA0F" w14:textId="77777777" w:rsidR="002501BE" w:rsidRPr="002501BE" w:rsidRDefault="002501BE" w:rsidP="002501BE"/>
    <w:p w14:paraId="7B5F60CB" w14:textId="77777777" w:rsidR="002501BE" w:rsidRPr="002501BE" w:rsidRDefault="002501BE" w:rsidP="002501BE"/>
    <w:p w14:paraId="517393DB" w14:textId="77777777" w:rsidR="002501BE" w:rsidRPr="002501BE" w:rsidRDefault="002501BE" w:rsidP="002501BE"/>
    <w:p w14:paraId="352CD24F" w14:textId="77777777" w:rsidR="002501BE" w:rsidRPr="002501BE" w:rsidRDefault="002501BE" w:rsidP="002501BE"/>
    <w:p w14:paraId="1E3E624E" w14:textId="77777777" w:rsidR="002501BE" w:rsidRPr="002501BE" w:rsidRDefault="002501BE" w:rsidP="002501BE"/>
    <w:p w14:paraId="7E9E7441" w14:textId="77777777" w:rsidR="002501BE" w:rsidRPr="002501BE" w:rsidRDefault="002501BE" w:rsidP="002501BE"/>
    <w:p w14:paraId="44DD3CD9" w14:textId="77777777" w:rsidR="002501BE" w:rsidRDefault="002501BE" w:rsidP="002501BE">
      <w:pPr>
        <w:ind w:firstLine="720"/>
      </w:pPr>
    </w:p>
    <w:p w14:paraId="4457E9BF" w14:textId="77777777" w:rsidR="002501BE" w:rsidRPr="002501BE" w:rsidRDefault="002501BE" w:rsidP="002501BE"/>
    <w:p w14:paraId="08F37F90" w14:textId="77777777" w:rsidR="002501BE" w:rsidRPr="002501BE" w:rsidRDefault="002501BE" w:rsidP="002501BE"/>
    <w:p w14:paraId="1C314101" w14:textId="77777777" w:rsidR="002501BE" w:rsidRDefault="002501BE" w:rsidP="002501BE"/>
    <w:p w14:paraId="55C272C3" w14:textId="3728DC81" w:rsidR="002501BE" w:rsidRPr="002501BE" w:rsidRDefault="002501BE" w:rsidP="002501BE">
      <w:pPr>
        <w:tabs>
          <w:tab w:val="right" w:pos="10466"/>
        </w:tabs>
      </w:pPr>
      <w:r>
        <w:t>July 2026</w:t>
      </w:r>
      <w:r>
        <w:tab/>
      </w:r>
      <w:r w:rsidRPr="002501BE">
        <w:t>G P O 0005</w:t>
      </w:r>
    </w:p>
    <w:sectPr w:rsidR="002501BE" w:rsidRPr="002501BE" w:rsidSect="00774C9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1591" w14:textId="77777777" w:rsidR="007E1DED" w:rsidRDefault="007E1DED" w:rsidP="00534AA6">
      <w:pPr>
        <w:spacing w:after="0" w:line="240" w:lineRule="auto"/>
      </w:pPr>
      <w:r>
        <w:separator/>
      </w:r>
    </w:p>
  </w:endnote>
  <w:endnote w:type="continuationSeparator" w:id="0">
    <w:p w14:paraId="04022CAA" w14:textId="77777777" w:rsidR="007E1DED" w:rsidRDefault="007E1DED" w:rsidP="0053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4FC8" w14:textId="77777777" w:rsidR="007E1DED" w:rsidRDefault="007E1DED" w:rsidP="00534AA6">
      <w:pPr>
        <w:spacing w:after="0" w:line="240" w:lineRule="auto"/>
      </w:pPr>
      <w:r>
        <w:separator/>
      </w:r>
    </w:p>
  </w:footnote>
  <w:footnote w:type="continuationSeparator" w:id="0">
    <w:p w14:paraId="63C126AB" w14:textId="77777777" w:rsidR="007E1DED" w:rsidRDefault="007E1DED" w:rsidP="00534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411"/>
    <w:multiLevelType w:val="hybridMultilevel"/>
    <w:tmpl w:val="03762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4013"/>
    <w:multiLevelType w:val="hybridMultilevel"/>
    <w:tmpl w:val="C2A23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40358D"/>
    <w:multiLevelType w:val="hybridMultilevel"/>
    <w:tmpl w:val="DD2A24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E70AE4"/>
    <w:multiLevelType w:val="hybridMultilevel"/>
    <w:tmpl w:val="F8045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A06F2"/>
    <w:multiLevelType w:val="hybridMultilevel"/>
    <w:tmpl w:val="EB026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784D"/>
    <w:multiLevelType w:val="hybridMultilevel"/>
    <w:tmpl w:val="D6B2F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D1145"/>
    <w:multiLevelType w:val="hybridMultilevel"/>
    <w:tmpl w:val="63A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20E6F"/>
    <w:multiLevelType w:val="hybridMultilevel"/>
    <w:tmpl w:val="D1C2C1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E07AF"/>
    <w:multiLevelType w:val="hybridMultilevel"/>
    <w:tmpl w:val="E56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E217F"/>
    <w:multiLevelType w:val="hybridMultilevel"/>
    <w:tmpl w:val="9014F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259E7"/>
    <w:multiLevelType w:val="hybridMultilevel"/>
    <w:tmpl w:val="1B109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693131">
    <w:abstractNumId w:val="10"/>
  </w:num>
  <w:num w:numId="2" w16cid:durableId="1600023253">
    <w:abstractNumId w:val="5"/>
  </w:num>
  <w:num w:numId="3" w16cid:durableId="44791304">
    <w:abstractNumId w:val="7"/>
  </w:num>
  <w:num w:numId="4" w16cid:durableId="1827672976">
    <w:abstractNumId w:val="3"/>
  </w:num>
  <w:num w:numId="5" w16cid:durableId="746655323">
    <w:abstractNumId w:val="9"/>
  </w:num>
  <w:num w:numId="6" w16cid:durableId="1487749140">
    <w:abstractNumId w:val="0"/>
  </w:num>
  <w:num w:numId="7" w16cid:durableId="656106608">
    <w:abstractNumId w:val="4"/>
  </w:num>
  <w:num w:numId="8" w16cid:durableId="1328250119">
    <w:abstractNumId w:val="6"/>
  </w:num>
  <w:num w:numId="9" w16cid:durableId="750662071">
    <w:abstractNumId w:val="2"/>
  </w:num>
  <w:num w:numId="10" w16cid:durableId="246575662">
    <w:abstractNumId w:val="1"/>
  </w:num>
  <w:num w:numId="11" w16cid:durableId="1106849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9E"/>
    <w:rsid w:val="001D760F"/>
    <w:rsid w:val="001F59A6"/>
    <w:rsid w:val="002501BE"/>
    <w:rsid w:val="00534AA6"/>
    <w:rsid w:val="00774C9E"/>
    <w:rsid w:val="007E1DED"/>
    <w:rsid w:val="00814207"/>
    <w:rsid w:val="008F3FDD"/>
    <w:rsid w:val="0090195D"/>
    <w:rsid w:val="00AD5221"/>
    <w:rsid w:val="00D96896"/>
    <w:rsid w:val="00E71319"/>
    <w:rsid w:val="00FA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E014"/>
  <w15:chartTrackingRefBased/>
  <w15:docId w15:val="{44680D5B-AD18-48C0-92AA-9C7852AC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9E"/>
    <w:pPr>
      <w:spacing w:line="259" w:lineRule="auto"/>
    </w:pPr>
    <w:rPr>
      <w:sz w:val="22"/>
      <w:szCs w:val="22"/>
    </w:rPr>
  </w:style>
  <w:style w:type="paragraph" w:styleId="Heading1">
    <w:name w:val="heading 1"/>
    <w:basedOn w:val="Normal"/>
    <w:next w:val="Normal"/>
    <w:link w:val="Heading1Char"/>
    <w:uiPriority w:val="9"/>
    <w:qFormat/>
    <w:rsid w:val="0077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9E"/>
    <w:rPr>
      <w:rFonts w:eastAsiaTheme="majorEastAsia" w:cstheme="majorBidi"/>
      <w:color w:val="272727" w:themeColor="text1" w:themeTint="D8"/>
    </w:rPr>
  </w:style>
  <w:style w:type="paragraph" w:styleId="Title">
    <w:name w:val="Title"/>
    <w:basedOn w:val="Normal"/>
    <w:next w:val="Normal"/>
    <w:link w:val="TitleChar"/>
    <w:uiPriority w:val="10"/>
    <w:qFormat/>
    <w:rsid w:val="0077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9E"/>
    <w:pPr>
      <w:spacing w:before="160"/>
      <w:jc w:val="center"/>
    </w:pPr>
    <w:rPr>
      <w:i/>
      <w:iCs/>
      <w:color w:val="404040" w:themeColor="text1" w:themeTint="BF"/>
    </w:rPr>
  </w:style>
  <w:style w:type="character" w:customStyle="1" w:styleId="QuoteChar">
    <w:name w:val="Quote Char"/>
    <w:basedOn w:val="DefaultParagraphFont"/>
    <w:link w:val="Quote"/>
    <w:uiPriority w:val="29"/>
    <w:rsid w:val="00774C9E"/>
    <w:rPr>
      <w:i/>
      <w:iCs/>
      <w:color w:val="404040" w:themeColor="text1" w:themeTint="BF"/>
    </w:rPr>
  </w:style>
  <w:style w:type="paragraph" w:styleId="ListParagraph">
    <w:name w:val="List Paragraph"/>
    <w:basedOn w:val="Normal"/>
    <w:uiPriority w:val="34"/>
    <w:qFormat/>
    <w:rsid w:val="00774C9E"/>
    <w:pPr>
      <w:ind w:left="720"/>
      <w:contextualSpacing/>
    </w:pPr>
  </w:style>
  <w:style w:type="character" w:styleId="IntenseEmphasis">
    <w:name w:val="Intense Emphasis"/>
    <w:basedOn w:val="DefaultParagraphFont"/>
    <w:uiPriority w:val="21"/>
    <w:qFormat/>
    <w:rsid w:val="00774C9E"/>
    <w:rPr>
      <w:i/>
      <w:iCs/>
      <w:color w:val="0F4761" w:themeColor="accent1" w:themeShade="BF"/>
    </w:rPr>
  </w:style>
  <w:style w:type="paragraph" w:styleId="IntenseQuote">
    <w:name w:val="Intense Quote"/>
    <w:basedOn w:val="Normal"/>
    <w:next w:val="Normal"/>
    <w:link w:val="IntenseQuoteChar"/>
    <w:uiPriority w:val="30"/>
    <w:qFormat/>
    <w:rsid w:val="0077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9E"/>
    <w:rPr>
      <w:i/>
      <w:iCs/>
      <w:color w:val="0F4761" w:themeColor="accent1" w:themeShade="BF"/>
    </w:rPr>
  </w:style>
  <w:style w:type="character" w:styleId="IntenseReference">
    <w:name w:val="Intense Reference"/>
    <w:basedOn w:val="DefaultParagraphFont"/>
    <w:uiPriority w:val="32"/>
    <w:qFormat/>
    <w:rsid w:val="00774C9E"/>
    <w:rPr>
      <w:b/>
      <w:bCs/>
      <w:smallCaps/>
      <w:color w:val="0F4761" w:themeColor="accent1" w:themeShade="BF"/>
      <w:spacing w:val="5"/>
    </w:rPr>
  </w:style>
  <w:style w:type="paragraph" w:styleId="Header">
    <w:name w:val="header"/>
    <w:basedOn w:val="Normal"/>
    <w:link w:val="HeaderChar"/>
    <w:uiPriority w:val="99"/>
    <w:unhideWhenUsed/>
    <w:rsid w:val="005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AA6"/>
    <w:rPr>
      <w:sz w:val="22"/>
      <w:szCs w:val="22"/>
    </w:rPr>
  </w:style>
  <w:style w:type="paragraph" w:styleId="Footer">
    <w:name w:val="footer"/>
    <w:basedOn w:val="Normal"/>
    <w:link w:val="FooterChar"/>
    <w:uiPriority w:val="99"/>
    <w:unhideWhenUsed/>
    <w:rsid w:val="005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AE14-F2ED-4391-9441-91EEFCAF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2647</Words>
  <Characters>13638</Characters>
  <Application>Microsoft Office Word</Application>
  <DocSecurity>0</DocSecurity>
  <Lines>278</Lines>
  <Paragraphs>128</Paragraphs>
  <ScaleCrop>false</ScaleCrop>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Hunter</dc:creator>
  <cp:keywords/>
  <dc:description/>
  <cp:lastModifiedBy>Ross McKinnon</cp:lastModifiedBy>
  <cp:revision>9</cp:revision>
  <dcterms:created xsi:type="dcterms:W3CDTF">2026-07-09T14:12:00Z</dcterms:created>
  <dcterms:modified xsi:type="dcterms:W3CDTF">2026-07-10T10:07:00Z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2026-07-09T14:13:40Z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27ad972f-6bbf-4afb-930d-cf0de84ce294</vt:lpwstr>
  </property>
  <property fmtid="{D5CDD505-2E9C-101B-9397-08002B2CF9AE}" pid="8" name="MSIP_Label_f2cf71fe-324a-4168-92d9-4bbd2fb479e7_ContentBits">
    <vt:lpwstr>0</vt:lpwstr>
  </property>
  <property fmtid="{D5CDD505-2E9C-101B-9397-08002B2CF9AE}" pid="9" name="MSIP_Label_f2cf71fe-324a-4168-92d9-4bbd2fb479e7_Tag">
    <vt:lpwstr>10, 3, 0, 1</vt:lpwstr>
  </property>
</Properties>
</file>